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538B8A14" w14:textId="77777777" w:rsidTr="00204109">
        <w:trPr>
          <w:trHeight w:val="282"/>
        </w:trPr>
        <w:tc>
          <w:tcPr>
            <w:tcW w:w="499" w:type="dxa"/>
            <w:vMerge w:val="restart"/>
            <w:tcBorders>
              <w:bottom w:val="nil"/>
            </w:tcBorders>
            <w:textDirection w:val="btLr"/>
            <w:vAlign w:val="center"/>
          </w:tcPr>
          <w:p w14:paraId="43539823" w14:textId="77777777" w:rsidR="00041727" w:rsidRPr="00041727"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79004E3A" w14:textId="77777777" w:rsidR="00041727" w:rsidRPr="00527225" w:rsidRDefault="00041727" w:rsidP="007D650E">
            <w:pPr>
              <w:tabs>
                <w:tab w:val="clear" w:pos="1134"/>
                <w:tab w:val="left" w:pos="6946"/>
              </w:tabs>
              <w:suppressAutoHyphens/>
              <w:spacing w:after="120" w:line="252" w:lineRule="auto"/>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744F61F5" wp14:editId="246DDFA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BC60D45" w14:textId="77777777" w:rsidR="00041727" w:rsidRPr="00527225"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17F7CFD5" w14:textId="77777777" w:rsidR="00041727" w:rsidRPr="00527225"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18ECE7F6" w14:textId="277CF526" w:rsidR="00041727" w:rsidRPr="00814CC6" w:rsidRDefault="009F5A1D" w:rsidP="00BA7E19">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FC0CF4">
              <w:rPr>
                <w:b/>
                <w:color w:val="365F91"/>
              </w:rPr>
              <w:t>5.1(1)</w:t>
            </w:r>
          </w:p>
        </w:tc>
      </w:tr>
      <w:tr w:rsidR="00041727" w:rsidRPr="002C5965" w14:paraId="79B03DAF" w14:textId="77777777" w:rsidTr="00204109">
        <w:trPr>
          <w:trHeight w:val="730"/>
        </w:trPr>
        <w:tc>
          <w:tcPr>
            <w:tcW w:w="499" w:type="dxa"/>
            <w:vMerge/>
            <w:tcBorders>
              <w:bottom w:val="nil"/>
            </w:tcBorders>
          </w:tcPr>
          <w:p w14:paraId="2B3D0692"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6906" w:type="dxa"/>
            <w:vMerge/>
            <w:noWrap/>
          </w:tcPr>
          <w:p w14:paraId="5F31D8B1" w14:textId="77777777" w:rsidR="00041727" w:rsidRPr="00814CC6" w:rsidRDefault="00041727" w:rsidP="00604802">
            <w:pPr>
              <w:tabs>
                <w:tab w:val="left" w:pos="6946"/>
              </w:tabs>
              <w:suppressAutoHyphens/>
              <w:spacing w:after="120" w:line="252" w:lineRule="auto"/>
              <w:ind w:left="1134"/>
              <w:jc w:val="left"/>
              <w:rPr>
                <w:color w:val="365F91" w:themeColor="accent1" w:themeShade="BF"/>
                <w:szCs w:val="22"/>
                <w:lang w:val="fr-FR" w:eastAsia="zh-CN"/>
              </w:rPr>
            </w:pPr>
          </w:p>
        </w:tc>
        <w:tc>
          <w:tcPr>
            <w:tcW w:w="2909" w:type="dxa"/>
          </w:tcPr>
          <w:p w14:paraId="1652ED59" w14:textId="41994A1C" w:rsidR="00041727" w:rsidRPr="002C5965" w:rsidRDefault="00527225" w:rsidP="00BA7E19">
            <w:pPr>
              <w:pStyle w:val="StyleComplexTahomaComplex11ptAccent1RightAfter-"/>
              <w:ind w:right="0"/>
            </w:pPr>
            <w:r>
              <w:t>Presentado por</w:t>
            </w:r>
            <w:r w:rsidR="00041727" w:rsidRPr="002C5965">
              <w:t>:</w:t>
            </w:r>
            <w:r w:rsidR="00041727" w:rsidRPr="002C5965">
              <w:br/>
            </w:r>
            <w:r w:rsidR="00FC0CF4" w:rsidRPr="00FC0CF4">
              <w:rPr>
                <w:bCs/>
                <w:color w:val="365F91"/>
              </w:rPr>
              <w:t>presidente de la INFCOM y presidente de la SERCOM</w:t>
            </w:r>
          </w:p>
          <w:p w14:paraId="06682A28" w14:textId="1E374B87" w:rsidR="00041727" w:rsidRPr="002C5965" w:rsidRDefault="00CC73B8" w:rsidP="00BA7E19">
            <w:pPr>
              <w:pStyle w:val="StyleComplexTahomaComplex11ptAccent1RightAfter-"/>
              <w:ind w:right="0"/>
            </w:pPr>
            <w:r>
              <w:rPr>
                <w:bCs/>
                <w:color w:val="365F91"/>
              </w:rPr>
              <w:t>14</w:t>
            </w:r>
            <w:r w:rsidR="00527225" w:rsidRPr="007F7A32">
              <w:t>.</w:t>
            </w:r>
            <w:r w:rsidR="00FC0CF4">
              <w:rPr>
                <w:bCs/>
                <w:color w:val="365F91"/>
              </w:rPr>
              <w:t>X</w:t>
            </w:r>
            <w:r w:rsidR="00A41E35">
              <w:t>.202</w:t>
            </w:r>
            <w:r w:rsidR="003F4786">
              <w:t>2</w:t>
            </w:r>
          </w:p>
          <w:p w14:paraId="6525E432" w14:textId="4A5944AC" w:rsidR="00041727" w:rsidRPr="002C5965" w:rsidRDefault="00745128" w:rsidP="00BA7E19">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2</w:t>
            </w:r>
          </w:p>
        </w:tc>
      </w:tr>
    </w:tbl>
    <w:p w14:paraId="1BA7DDDD" w14:textId="482D8739" w:rsidR="008A1B03" w:rsidRPr="008A1B03" w:rsidRDefault="008A1B03" w:rsidP="0068587D">
      <w:pPr>
        <w:pStyle w:val="WMOBodyText"/>
        <w:jc w:val="center"/>
        <w:rPr>
          <w:ins w:id="0" w:author="Eduardo RICO VILAR" w:date="2022-10-14T15:42:00Z"/>
          <w:bCs/>
          <w:i/>
          <w:iCs/>
          <w:lang w:val="es-ES"/>
        </w:rPr>
      </w:pPr>
      <w:ins w:id="1" w:author="Eduardo RICO VILAR" w:date="2022-10-14T15:42:00Z">
        <w:r w:rsidRPr="008A1B03">
          <w:rPr>
            <w:bCs/>
            <w:i/>
            <w:iCs/>
            <w:lang w:val="es-ES"/>
          </w:rPr>
          <w:t xml:space="preserve">[Todas las enmiendas al presente documento han sido realizadas por la Secretaría </w:t>
        </w:r>
      </w:ins>
      <w:r w:rsidR="0068587D">
        <w:rPr>
          <w:bCs/>
          <w:i/>
          <w:iCs/>
          <w:lang w:val="es-ES"/>
        </w:rPr>
        <w:br/>
      </w:r>
      <w:ins w:id="2" w:author="Eduardo RICO VILAR" w:date="2022-10-14T15:42:00Z">
        <w:r w:rsidRPr="008A1B03">
          <w:rPr>
            <w:bCs/>
            <w:i/>
            <w:iCs/>
            <w:lang w:val="es-ES"/>
          </w:rPr>
          <w:t>a p</w:t>
        </w:r>
        <w:r>
          <w:rPr>
            <w:bCs/>
            <w:i/>
            <w:iCs/>
            <w:lang w:val="es-ES"/>
          </w:rPr>
          <w:t xml:space="preserve">ropuesta </w:t>
        </w:r>
        <w:r w:rsidRPr="008A1B03">
          <w:rPr>
            <w:bCs/>
            <w:i/>
            <w:iCs/>
            <w:lang w:val="es-ES"/>
          </w:rPr>
          <w:t xml:space="preserve">de la </w:t>
        </w:r>
        <w:r>
          <w:rPr>
            <w:bCs/>
            <w:i/>
            <w:iCs/>
            <w:lang w:val="es-ES"/>
          </w:rPr>
          <w:t>República Checa</w:t>
        </w:r>
        <w:r w:rsidRPr="008A1B03">
          <w:rPr>
            <w:bCs/>
            <w:i/>
            <w:iCs/>
            <w:lang w:val="es-ES"/>
          </w:rPr>
          <w:t>]</w:t>
        </w:r>
      </w:ins>
    </w:p>
    <w:p w14:paraId="793B5583" w14:textId="4ED46F0C" w:rsidR="00C4470F" w:rsidRPr="00514EAC" w:rsidRDefault="001527A3" w:rsidP="00514EAC">
      <w:pPr>
        <w:pStyle w:val="WMOBodyText"/>
        <w:ind w:left="3969" w:hanging="3969"/>
        <w:rPr>
          <w:b/>
          <w:lang w:val="es-ES"/>
        </w:rPr>
      </w:pPr>
      <w:r w:rsidRPr="00514EAC">
        <w:rPr>
          <w:b/>
          <w:lang w:val="es-ES"/>
        </w:rPr>
        <w:t xml:space="preserve">PUNTO </w:t>
      </w:r>
      <w:r w:rsidR="00FC0CF4">
        <w:rPr>
          <w:b/>
          <w:lang w:val="es-ES"/>
        </w:rPr>
        <w:t>5</w:t>
      </w:r>
      <w:r w:rsidRPr="00514EAC">
        <w:rPr>
          <w:b/>
          <w:lang w:val="es-ES"/>
        </w:rPr>
        <w:t xml:space="preserve"> DEL ORDEN DEL DÍA:</w:t>
      </w:r>
      <w:r w:rsidR="00A41E35" w:rsidRPr="00514EAC">
        <w:rPr>
          <w:b/>
          <w:lang w:val="es-ES"/>
        </w:rPr>
        <w:tab/>
      </w:r>
      <w:r w:rsidR="00FC0CF4" w:rsidRPr="00FC0CF4">
        <w:rPr>
          <w:b/>
          <w:lang w:val="es-ES"/>
        </w:rPr>
        <w:t xml:space="preserve">REGLAMENTO TÉCNICO Y OTRAS CUESTIONES </w:t>
      </w:r>
      <w:r w:rsidR="00616BF0">
        <w:rPr>
          <w:b/>
          <w:lang w:val="es-ES"/>
        </w:rPr>
        <w:br/>
      </w:r>
      <w:r w:rsidR="00FC0CF4" w:rsidRPr="00FC0CF4">
        <w:rPr>
          <w:b/>
          <w:lang w:val="es-ES"/>
        </w:rPr>
        <w:t>DE CARÁCTER TÉCNICO</w:t>
      </w:r>
    </w:p>
    <w:p w14:paraId="34318F4A" w14:textId="24081E64" w:rsidR="00D912E2" w:rsidRPr="00FC0CF4" w:rsidRDefault="001527A3" w:rsidP="00FC0CF4">
      <w:pPr>
        <w:pStyle w:val="WMOBodyText"/>
        <w:ind w:left="3969" w:hanging="3969"/>
        <w:rPr>
          <w:b/>
          <w:lang w:val="es-ES"/>
        </w:rPr>
      </w:pPr>
      <w:r w:rsidRPr="001527A3">
        <w:rPr>
          <w:b/>
          <w:lang w:val="es-ES"/>
        </w:rPr>
        <w:t xml:space="preserve">PUNTO </w:t>
      </w:r>
      <w:r w:rsidR="00FC0CF4">
        <w:rPr>
          <w:b/>
        </w:rPr>
        <w:t>5.1</w:t>
      </w:r>
      <w:r w:rsidRPr="001527A3">
        <w:rPr>
          <w:b/>
          <w:lang w:val="es-ES"/>
        </w:rPr>
        <w:t>:</w:t>
      </w:r>
      <w:r w:rsidRPr="001527A3">
        <w:rPr>
          <w:b/>
          <w:lang w:val="es-ES"/>
        </w:rPr>
        <w:tab/>
      </w:r>
      <w:r w:rsidR="00FC0CF4" w:rsidRPr="00FC0CF4">
        <w:rPr>
          <w:b/>
          <w:lang w:val="es-ES"/>
        </w:rPr>
        <w:t xml:space="preserve">Enmiendas recomendadas al </w:t>
      </w:r>
      <w:r w:rsidR="00FC0CF4" w:rsidRPr="00B535DC">
        <w:rPr>
          <w:b/>
          <w:i/>
          <w:iCs/>
          <w:lang w:val="es-ES"/>
        </w:rPr>
        <w:t>Reglamento Técnico</w:t>
      </w:r>
      <w:r w:rsidR="00FC0CF4" w:rsidRPr="00FC0CF4">
        <w:rPr>
          <w:b/>
          <w:lang w:val="es-ES"/>
        </w:rPr>
        <w:t xml:space="preserve"> (OMM-Nº 49), incluidos los manuales y las guías</w:t>
      </w:r>
    </w:p>
    <w:p w14:paraId="6C52E152" w14:textId="01E4B90A" w:rsidR="008E0A57" w:rsidRPr="00FC0CF4" w:rsidRDefault="00B777EE" w:rsidP="00716AD3">
      <w:pPr>
        <w:pStyle w:val="Heading1"/>
        <w:spacing w:before="480"/>
        <w:rPr>
          <w:lang w:val="es-ES"/>
        </w:rPr>
      </w:pPr>
      <w:r>
        <w:rPr>
          <w:lang w:val="es-ES"/>
        </w:rPr>
        <w:t xml:space="preserve">PUESTA AL DÍA </w:t>
      </w:r>
      <w:r w:rsidR="00FC0CF4" w:rsidRPr="00FC0CF4">
        <w:rPr>
          <w:lang w:val="es-ES"/>
        </w:rPr>
        <w:t xml:space="preserve">DEL </w:t>
      </w:r>
      <w:r w:rsidR="00FC0CF4" w:rsidRPr="00FC0CF4">
        <w:rPr>
          <w:i/>
          <w:iCs/>
          <w:lang w:val="es-ES"/>
        </w:rPr>
        <w:t xml:space="preserve">MANUAL DEL SISTEMA MUNDIAL DE PROCESO </w:t>
      </w:r>
      <w:r>
        <w:rPr>
          <w:i/>
          <w:iCs/>
          <w:lang w:val="es-ES"/>
        </w:rPr>
        <w:br/>
      </w:r>
      <w:r w:rsidR="00FC0CF4" w:rsidRPr="00FC0CF4">
        <w:rPr>
          <w:i/>
          <w:iCs/>
          <w:lang w:val="es-ES"/>
        </w:rPr>
        <w:t>DE DATOS Y DE PREDICCIÓN</w:t>
      </w:r>
      <w:r w:rsidR="00FC0CF4" w:rsidRPr="00FC0CF4">
        <w:rPr>
          <w:lang w:val="es-ES"/>
        </w:rPr>
        <w:t xml:space="preserve"> (OMM-Nº 485) PROPUESTA </w:t>
      </w:r>
      <w:r w:rsidR="00592EBB">
        <w:rPr>
          <w:lang w:val="es-ES"/>
        </w:rPr>
        <w:br/>
      </w:r>
      <w:r w:rsidR="00FC0CF4" w:rsidRPr="00FC0CF4">
        <w:rPr>
          <w:lang w:val="es-ES"/>
        </w:rPr>
        <w:t xml:space="preserve">POR LOS COMITÉS PERMANENTES DE LA </w:t>
      </w:r>
      <w:r w:rsidR="00013331" w:rsidRPr="00013331">
        <w:rPr>
          <w:lang w:val="es-ES"/>
        </w:rPr>
        <w:t xml:space="preserve">Comisión de Aplicaciones y Servicios Meteorológicos, Climáticos, Hidrológicos </w:t>
      </w:r>
      <w:r w:rsidR="00013331">
        <w:rPr>
          <w:lang w:val="es-ES"/>
        </w:rPr>
        <w:br/>
      </w:r>
      <w:r w:rsidR="00013331" w:rsidRPr="00013331">
        <w:rPr>
          <w:lang w:val="es-ES"/>
        </w:rPr>
        <w:t>y Medioambientales Conexos</w:t>
      </w:r>
    </w:p>
    <w:p w14:paraId="429B0604" w14:textId="77777777" w:rsidR="00BC2C42" w:rsidRPr="004D0B08"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FC0CF4" w14:paraId="1DB18FB5" w14:textId="77777777" w:rsidTr="005E31E8">
        <w:trPr>
          <w:jc w:val="center"/>
        </w:trPr>
        <w:tc>
          <w:tcPr>
            <w:tcW w:w="7285" w:type="dxa"/>
          </w:tcPr>
          <w:p w14:paraId="29AAEF78" w14:textId="08F2B21D" w:rsidR="00BC2C42" w:rsidRPr="00FC0CF4" w:rsidRDefault="00BC2C42" w:rsidP="00FC0CF4">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tc>
      </w:tr>
      <w:tr w:rsidR="00BC2C42" w:rsidRPr="0068587D" w14:paraId="4DAA410E" w14:textId="77777777" w:rsidTr="005E31E8">
        <w:trPr>
          <w:jc w:val="center"/>
        </w:trPr>
        <w:tc>
          <w:tcPr>
            <w:tcW w:w="7285" w:type="dxa"/>
          </w:tcPr>
          <w:p w14:paraId="3FE2E6AD" w14:textId="174D6C8F" w:rsidR="00BC2C42" w:rsidRPr="004D0B08" w:rsidRDefault="00BC2C42" w:rsidP="005E31E8">
            <w:pPr>
              <w:pStyle w:val="WMOBodyText"/>
              <w:spacing w:before="160"/>
              <w:jc w:val="left"/>
              <w:rPr>
                <w:lang w:val="es-ES"/>
              </w:rPr>
            </w:pPr>
            <w:r w:rsidRPr="004D0B08">
              <w:rPr>
                <w:b/>
                <w:bCs/>
                <w:lang w:val="es-ES"/>
              </w:rPr>
              <w:t>Documento presentado por:</w:t>
            </w:r>
            <w:r w:rsidRPr="004D0B08">
              <w:rPr>
                <w:lang w:val="es-ES"/>
              </w:rPr>
              <w:t xml:space="preserve"> </w:t>
            </w:r>
            <w:r w:rsidR="00FC0CF4" w:rsidRPr="00FC0CF4">
              <w:rPr>
                <w:bCs/>
                <w:lang w:val="es-ES"/>
              </w:rPr>
              <w:t>El presidente de la SERCOM y el presidente de la INFCOM, con contribuciones del Comité Permanente de Servicios Hidrológicos (SC-HYD), el Comité Permanente de Servicios Meteorológicos Marinos y Oceanográficos (SC-MMO) y el Comité Permanente de Reducción de Riesgos de Desastre y Servicios para el Público (SC-DRR) de la SERCOM.</w:t>
            </w:r>
          </w:p>
          <w:p w14:paraId="7EB83F1B" w14:textId="3DDF8A54" w:rsidR="00BC2C42" w:rsidRPr="004D0B08" w:rsidRDefault="00BC2C42" w:rsidP="005E31E8">
            <w:pPr>
              <w:pStyle w:val="WMOBodyText"/>
              <w:spacing w:before="160"/>
              <w:jc w:val="left"/>
              <w:rPr>
                <w:b/>
                <w:bCs/>
                <w:lang w:val="es-ES"/>
              </w:rPr>
            </w:pPr>
            <w:r w:rsidRPr="004D0B08">
              <w:rPr>
                <w:b/>
                <w:bCs/>
                <w:lang w:val="es-ES"/>
              </w:rPr>
              <w:t xml:space="preserve">Objetivo estratégico para 2020-2023: </w:t>
            </w:r>
            <w:r w:rsidR="00FC0CF4" w:rsidRPr="00FC0CF4">
              <w:rPr>
                <w:bCs/>
                <w:lang w:val="es-ES"/>
              </w:rPr>
              <w:t>1.1, 1.3, 1.4, 2.3.</w:t>
            </w:r>
          </w:p>
          <w:p w14:paraId="7D59DADA" w14:textId="6C14F66B" w:rsidR="00BC2C42" w:rsidRPr="004D0B08" w:rsidRDefault="00BC2C42" w:rsidP="005E31E8">
            <w:pPr>
              <w:pStyle w:val="WMOBodyText"/>
              <w:spacing w:before="160"/>
              <w:jc w:val="left"/>
              <w:rPr>
                <w:lang w:val="es-ES"/>
              </w:rPr>
            </w:pPr>
            <w:r w:rsidRPr="004D0B08">
              <w:rPr>
                <w:b/>
                <w:bCs/>
                <w:lang w:val="es-ES"/>
              </w:rPr>
              <w:t>Consecuencias financieras y administrativas:</w:t>
            </w:r>
            <w:r w:rsidRPr="004D0B08">
              <w:rPr>
                <w:lang w:val="es-ES"/>
              </w:rPr>
              <w:t xml:space="preserve"> </w:t>
            </w:r>
            <w:r w:rsidR="00FC0CF4" w:rsidRPr="00FC0CF4">
              <w:rPr>
                <w:bCs/>
                <w:lang w:val="es-ES"/>
              </w:rPr>
              <w:t>Consecuencias financieras mínimas. Consecuencias administrativas moderadas.</w:t>
            </w:r>
          </w:p>
          <w:p w14:paraId="7B2DDAB2" w14:textId="3CBED524" w:rsidR="00BC2C42" w:rsidRPr="004D0B08" w:rsidRDefault="00BC2C42" w:rsidP="005E31E8">
            <w:pPr>
              <w:pStyle w:val="WMOBodyText"/>
              <w:spacing w:before="160"/>
              <w:jc w:val="left"/>
              <w:rPr>
                <w:lang w:val="es-ES"/>
              </w:rPr>
            </w:pPr>
            <w:r w:rsidRPr="004D0B08">
              <w:rPr>
                <w:b/>
                <w:bCs/>
                <w:lang w:val="es-ES"/>
              </w:rPr>
              <w:t>Principales encargados de la ejecución:</w:t>
            </w:r>
            <w:r w:rsidRPr="004D0B08">
              <w:rPr>
                <w:lang w:val="es-ES"/>
              </w:rPr>
              <w:t xml:space="preserve"> </w:t>
            </w:r>
            <w:r w:rsidR="0032394F">
              <w:rPr>
                <w:lang w:val="es-ES"/>
              </w:rPr>
              <w:t xml:space="preserve">La </w:t>
            </w:r>
            <w:r w:rsidR="00FC0CF4" w:rsidRPr="00FC0CF4">
              <w:rPr>
                <w:bCs/>
                <w:lang w:val="es-ES"/>
              </w:rPr>
              <w:t>INFCOM</w:t>
            </w:r>
            <w:r w:rsidR="0032394F">
              <w:rPr>
                <w:bCs/>
                <w:lang w:val="es-ES"/>
              </w:rPr>
              <w:t>,</w:t>
            </w:r>
            <w:r w:rsidR="00FC0CF4" w:rsidRPr="00FC0CF4">
              <w:rPr>
                <w:bCs/>
                <w:lang w:val="es-ES"/>
              </w:rPr>
              <w:t xml:space="preserve"> en consulta con </w:t>
            </w:r>
            <w:r w:rsidR="00EB0308">
              <w:rPr>
                <w:bCs/>
                <w:lang w:val="es-ES"/>
              </w:rPr>
              <w:t xml:space="preserve">la </w:t>
            </w:r>
            <w:r w:rsidR="00FC0CF4" w:rsidRPr="00FC0CF4">
              <w:rPr>
                <w:bCs/>
                <w:lang w:val="es-ES"/>
              </w:rPr>
              <w:t>SERCOM</w:t>
            </w:r>
            <w:r w:rsidR="00FC0CF4">
              <w:rPr>
                <w:bCs/>
                <w:lang w:val="es-ES"/>
              </w:rPr>
              <w:t>.</w:t>
            </w:r>
          </w:p>
          <w:p w14:paraId="292BE875" w14:textId="23B96776" w:rsidR="00BC2C42" w:rsidRPr="004D0B08" w:rsidRDefault="00BC2C42" w:rsidP="005E31E8">
            <w:pPr>
              <w:pStyle w:val="WMOBodyText"/>
              <w:spacing w:before="160"/>
              <w:jc w:val="left"/>
              <w:rPr>
                <w:lang w:val="es-ES"/>
              </w:rPr>
            </w:pPr>
            <w:r w:rsidRPr="004D0B08">
              <w:rPr>
                <w:b/>
                <w:bCs/>
                <w:lang w:val="es-ES"/>
              </w:rPr>
              <w:t>Cronograma:</w:t>
            </w:r>
            <w:r w:rsidRPr="004D0B08">
              <w:rPr>
                <w:lang w:val="es-ES"/>
              </w:rPr>
              <w:t xml:space="preserve"> </w:t>
            </w:r>
            <w:r w:rsidR="00FC0CF4" w:rsidRPr="00FC0CF4">
              <w:rPr>
                <w:bCs/>
                <w:lang w:val="es-ES"/>
              </w:rPr>
              <w:t>2022</w:t>
            </w:r>
            <w:r w:rsidR="0032394F">
              <w:rPr>
                <w:bCs/>
                <w:lang w:val="es-ES"/>
              </w:rPr>
              <w:t>-</w:t>
            </w:r>
            <w:r w:rsidR="00FC0CF4" w:rsidRPr="00FC0CF4">
              <w:rPr>
                <w:bCs/>
                <w:lang w:val="es-ES"/>
              </w:rPr>
              <w:t>2023</w:t>
            </w:r>
            <w:r w:rsidR="00FC0CF4">
              <w:rPr>
                <w:bCs/>
                <w:lang w:val="es-ES"/>
              </w:rPr>
              <w:t>.</w:t>
            </w:r>
          </w:p>
          <w:p w14:paraId="1481ABD8" w14:textId="1C68632C" w:rsidR="00BC2C42" w:rsidRPr="004D0B08" w:rsidRDefault="00BC2C42" w:rsidP="00E45656">
            <w:pPr>
              <w:pStyle w:val="WMOBodyText"/>
              <w:spacing w:before="160" w:after="160"/>
              <w:jc w:val="left"/>
              <w:rPr>
                <w:lang w:val="es-ES"/>
              </w:rPr>
            </w:pPr>
            <w:r w:rsidRPr="004D0B08">
              <w:rPr>
                <w:b/>
                <w:bCs/>
                <w:lang w:val="es-ES"/>
              </w:rPr>
              <w:t>Medida prevista:</w:t>
            </w:r>
            <w:r w:rsidRPr="004D0B08">
              <w:rPr>
                <w:lang w:val="es-ES"/>
              </w:rPr>
              <w:t xml:space="preserve"> </w:t>
            </w:r>
            <w:r w:rsidR="00FC0CF4" w:rsidRPr="00FC0CF4">
              <w:rPr>
                <w:bCs/>
                <w:lang w:val="es-ES"/>
              </w:rPr>
              <w:t xml:space="preserve">Que la INFCOM recomiende la puesta al día del </w:t>
            </w:r>
            <w:r w:rsidR="00FC0CF4" w:rsidRPr="00FC0CF4">
              <w:rPr>
                <w:bCs/>
                <w:i/>
                <w:iCs/>
                <w:lang w:val="es-ES"/>
              </w:rPr>
              <w:t>Manual del Sistema Mundial de Proceso de Datos y de Predicción</w:t>
            </w:r>
            <w:r w:rsidR="00FC0CF4" w:rsidRPr="00FC0CF4">
              <w:rPr>
                <w:bCs/>
                <w:lang w:val="es-ES"/>
              </w:rPr>
              <w:t xml:space="preserve"> al Consejo Ejecutivo, y que los expertos de la SERCOM trabajen con la INFCOM en futuras actualizaciones</w:t>
            </w:r>
            <w:r w:rsidR="00FC0CF4">
              <w:rPr>
                <w:bCs/>
                <w:lang w:val="es-ES"/>
              </w:rPr>
              <w:t>.</w:t>
            </w:r>
          </w:p>
        </w:tc>
      </w:tr>
    </w:tbl>
    <w:p w14:paraId="178E89C9" w14:textId="77777777" w:rsidR="00583EBC" w:rsidRDefault="00583EBC">
      <w:pPr>
        <w:tabs>
          <w:tab w:val="clear" w:pos="1134"/>
        </w:tabs>
        <w:jc w:val="left"/>
        <w:rPr>
          <w:lang w:val="es-ES"/>
        </w:rPr>
      </w:pPr>
      <w:bookmarkStart w:id="3" w:name="_APPENDIX_A:_"/>
      <w:bookmarkEnd w:id="3"/>
    </w:p>
    <w:p w14:paraId="52489360" w14:textId="77777777" w:rsidR="00BC2C42" w:rsidRPr="004D0B08" w:rsidRDefault="0092449A" w:rsidP="00BC2C42">
      <w:pPr>
        <w:pStyle w:val="Heading1"/>
        <w:rPr>
          <w:lang w:val="es-ES"/>
        </w:rPr>
      </w:pPr>
      <w:r>
        <w:rPr>
          <w:lang w:val="es-ES"/>
        </w:rPr>
        <w:br w:type="page"/>
      </w:r>
      <w:r w:rsidR="00BC2C42" w:rsidRPr="004D0B08">
        <w:rPr>
          <w:lang w:val="es-ES"/>
        </w:rPr>
        <w:lastRenderedPageBreak/>
        <w:t>CONSIDERAcIONeS GENERALES</w:t>
      </w:r>
    </w:p>
    <w:p w14:paraId="5A4C829A" w14:textId="247BAC3D" w:rsidR="00BC2C42" w:rsidRPr="00E55774" w:rsidRDefault="00E55774" w:rsidP="00BC2C42">
      <w:pPr>
        <w:pStyle w:val="Heading3"/>
        <w:rPr>
          <w:b w:val="0"/>
          <w:bCs w:val="0"/>
          <w:lang w:val="es-ES"/>
        </w:rPr>
      </w:pPr>
      <w:r>
        <w:rPr>
          <w:lang w:val="es-ES"/>
        </w:rPr>
        <w:t>Introducción</w:t>
      </w:r>
    </w:p>
    <w:p w14:paraId="2D5DD117" w14:textId="21B8AD8F" w:rsidR="00BC2C42" w:rsidRPr="004D0B08" w:rsidRDefault="00BC2C42" w:rsidP="00BC2C42">
      <w:pPr>
        <w:pStyle w:val="WMOBodyText"/>
        <w:tabs>
          <w:tab w:val="left" w:pos="567"/>
        </w:tabs>
        <w:ind w:hanging="11"/>
        <w:rPr>
          <w:lang w:val="es-ES"/>
        </w:rPr>
      </w:pPr>
      <w:r w:rsidRPr="004D0B08">
        <w:rPr>
          <w:lang w:val="es-ES"/>
        </w:rPr>
        <w:t>1)</w:t>
      </w:r>
      <w:r w:rsidRPr="004D0B08">
        <w:rPr>
          <w:lang w:val="es-ES"/>
        </w:rPr>
        <w:tab/>
      </w:r>
      <w:r w:rsidR="00E55774" w:rsidRPr="00E55774">
        <w:rPr>
          <w:lang w:val="es-ES"/>
        </w:rPr>
        <w:t xml:space="preserve">El presente documento propone </w:t>
      </w:r>
      <w:r w:rsidR="007873C2">
        <w:rPr>
          <w:lang w:val="es-ES"/>
        </w:rPr>
        <w:t>un modo de proceder</w:t>
      </w:r>
      <w:r w:rsidR="007873C2" w:rsidRPr="00E55774">
        <w:rPr>
          <w:lang w:val="es-ES"/>
        </w:rPr>
        <w:t xml:space="preserve"> </w:t>
      </w:r>
      <w:r w:rsidR="00E55774" w:rsidRPr="00E55774">
        <w:rPr>
          <w:lang w:val="es-ES"/>
        </w:rPr>
        <w:t xml:space="preserve">para </w:t>
      </w:r>
      <w:r w:rsidR="00483D02">
        <w:rPr>
          <w:lang w:val="es-ES"/>
        </w:rPr>
        <w:t xml:space="preserve">introducir </w:t>
      </w:r>
      <w:r w:rsidR="00E55774" w:rsidRPr="00E55774">
        <w:rPr>
          <w:lang w:val="es-ES"/>
        </w:rPr>
        <w:t xml:space="preserve">futuros cambios </w:t>
      </w:r>
      <w:r w:rsidR="00483D02">
        <w:rPr>
          <w:lang w:val="es-ES"/>
        </w:rPr>
        <w:t>en e</w:t>
      </w:r>
      <w:r w:rsidR="00E55774" w:rsidRPr="00E55774">
        <w:rPr>
          <w:lang w:val="es-ES"/>
        </w:rPr>
        <w:t xml:space="preserve">l </w:t>
      </w:r>
      <w:hyperlink r:id="rId12" w:anchor=".Y0WA_LRBxmA" w:history="1">
        <w:r w:rsidR="00E55774" w:rsidRPr="006C5B48">
          <w:rPr>
            <w:rStyle w:val="Hyperlink"/>
            <w:i/>
            <w:iCs/>
            <w:lang w:val="es-ES"/>
          </w:rPr>
          <w:t>Manual del Sistema Mundial de Proceso de Datos y de Predicción</w:t>
        </w:r>
      </w:hyperlink>
      <w:r w:rsidR="00E55774" w:rsidRPr="00E55774">
        <w:rPr>
          <w:lang w:val="es-ES"/>
        </w:rPr>
        <w:t xml:space="preserve"> (GDPFS) (OMM-Nº 485) en respuesta a las necesidades de la Comisión de Servicios, en especial del Comité Permanente de Servicios Hidrológicos (SC-HYD), el Comité Permanente de Servicios Meteorológicos Marinos y Oceanográficos (SC-MMO) y el Comité Permanente de Reducción de Riesgos de Desastre y Servicios para el Público (SC-DRR), de conformidad con sus mandatos (</w:t>
      </w:r>
      <w:hyperlink r:id="rId13" w:anchor="page=15" w:history="1">
        <w:r w:rsidR="00E55774" w:rsidRPr="006C5B48">
          <w:rPr>
            <w:rStyle w:val="Hyperlink"/>
            <w:lang w:val="es-ES"/>
          </w:rPr>
          <w:t>Resolución 1 (SERCOM</w:t>
        </w:r>
        <w:r w:rsidR="0068587D">
          <w:rPr>
            <w:rStyle w:val="Hyperlink"/>
            <w:lang w:val="es-ES"/>
          </w:rPr>
          <w:noBreakHyphen/>
        </w:r>
        <w:r w:rsidR="00E55774" w:rsidRPr="006C5B48">
          <w:rPr>
            <w:rStyle w:val="Hyperlink"/>
            <w:lang w:val="es-ES"/>
          </w:rPr>
          <w:t>1)</w:t>
        </w:r>
      </w:hyperlink>
      <w:r w:rsidR="00E55774" w:rsidRPr="00E55774">
        <w:rPr>
          <w:lang w:val="es-ES"/>
        </w:rPr>
        <w:t xml:space="preserve"> — Establecimiento de los comités permanentes y los grupos de estudio de la Comisión de Aplicaciones y Servicios Meteorológicos, Climáticos, Hidrológicos y Medioambientales Conexos) y sus planes de trabajo (</w:t>
      </w:r>
      <w:hyperlink r:id="rId14" w:anchor="page=55" w:history="1">
        <w:r w:rsidR="00E55774" w:rsidRPr="006C5B48">
          <w:rPr>
            <w:rStyle w:val="Hyperlink"/>
            <w:lang w:val="es-ES"/>
          </w:rPr>
          <w:t>Resolución 3 (SERCOM-1)</w:t>
        </w:r>
      </w:hyperlink>
      <w:r w:rsidR="00E55774" w:rsidRPr="00E55774">
        <w:rPr>
          <w:lang w:val="es-ES"/>
        </w:rPr>
        <w:t xml:space="preserve"> — Plan de trabajo de la Comisión de Aplicaciones y Servicios Meteorológicos, Climáticos, Hidrológicos y Medioambientales Conexos para el primer período entre reuniones).</w:t>
      </w:r>
    </w:p>
    <w:p w14:paraId="76C6A50D" w14:textId="4205C0B6" w:rsidR="00BC2C42" w:rsidRDefault="00BC2C42" w:rsidP="00BC2C42">
      <w:pPr>
        <w:pStyle w:val="WMOBodyText"/>
        <w:tabs>
          <w:tab w:val="left" w:pos="567"/>
        </w:tabs>
        <w:ind w:hanging="11"/>
        <w:rPr>
          <w:lang w:val="es-ES"/>
        </w:rPr>
      </w:pPr>
      <w:r w:rsidRPr="004D0B08">
        <w:rPr>
          <w:lang w:val="es-ES"/>
        </w:rPr>
        <w:t>2)</w:t>
      </w:r>
      <w:r w:rsidRPr="004D0B08">
        <w:rPr>
          <w:lang w:val="es-ES"/>
        </w:rPr>
        <w:tab/>
      </w:r>
      <w:r w:rsidR="00E55774" w:rsidRPr="00E55774">
        <w:rPr>
          <w:lang w:val="es-ES"/>
        </w:rPr>
        <w:t xml:space="preserve">La </w:t>
      </w:r>
      <w:hyperlink r:id="rId15" w:anchor="page=108" w:history="1">
        <w:r w:rsidR="00E55774" w:rsidRPr="006C5B48">
          <w:rPr>
            <w:rStyle w:val="Hyperlink"/>
            <w:lang w:val="es-ES"/>
          </w:rPr>
          <w:t>Resolución 8 (SERCOM-1)</w:t>
        </w:r>
      </w:hyperlink>
      <w:r w:rsidR="00E55774" w:rsidRPr="00E55774">
        <w:rPr>
          <w:lang w:val="es-ES"/>
        </w:rPr>
        <w:t xml:space="preserve"> — Establecimiento de centros hidrológicos de la Organización Meteorológica Mundial en el marco del Sistema Mundial de Proceso de Datos y de Predicción, y la </w:t>
      </w:r>
      <w:hyperlink r:id="rId16" w:anchor="page=151" w:history="1">
        <w:r w:rsidR="00E55774" w:rsidRPr="006C5B48">
          <w:rPr>
            <w:rStyle w:val="Hyperlink"/>
            <w:lang w:val="es-ES"/>
          </w:rPr>
          <w:t>Resolución 12 (INFCOM-1)</w:t>
        </w:r>
      </w:hyperlink>
      <w:r w:rsidR="00E55774" w:rsidRPr="00E55774">
        <w:rPr>
          <w:lang w:val="es-ES"/>
        </w:rPr>
        <w:t xml:space="preserve"> — Marco conceptual para el establecimiento de centros del Sistema Mundial de Proceso de Datos y de Predicción para la prestación de servicios hidrológicos, solicitaron la elaboración de un plan para incluir a los centros hidrológicos en el </w:t>
      </w:r>
      <w:r w:rsidR="00E55774" w:rsidRPr="00E55774">
        <w:rPr>
          <w:i/>
          <w:iCs/>
          <w:lang w:val="es-ES"/>
        </w:rPr>
        <w:t>Manual del Sistema Mundial de Proceso de Datos y de Predicción</w:t>
      </w:r>
      <w:r w:rsidR="00E55774" w:rsidRPr="00E55774">
        <w:rPr>
          <w:lang w:val="es-ES"/>
        </w:rPr>
        <w:t>, para así facilitar el paradigma de un GDPFS Sin Discontinuidad que trascienda los servicios meteorológicos a través de la integración de la hidrología en el enfoque de la modelización del sistema Tierra</w:t>
      </w:r>
      <w:r w:rsidRPr="004D0B08">
        <w:rPr>
          <w:lang w:val="es-ES"/>
        </w:rPr>
        <w:t>.</w:t>
      </w:r>
    </w:p>
    <w:p w14:paraId="7C7DE78C" w14:textId="72CACFD3" w:rsidR="00E55774" w:rsidRDefault="00E55774" w:rsidP="00BC2C42">
      <w:pPr>
        <w:pStyle w:val="WMOBodyText"/>
        <w:tabs>
          <w:tab w:val="left" w:pos="567"/>
        </w:tabs>
        <w:ind w:hanging="11"/>
        <w:rPr>
          <w:lang w:val="es-ES"/>
        </w:rPr>
      </w:pPr>
      <w:r>
        <w:rPr>
          <w:lang w:val="es-ES"/>
        </w:rPr>
        <w:t>3)</w:t>
      </w:r>
      <w:r>
        <w:rPr>
          <w:lang w:val="es-ES"/>
        </w:rPr>
        <w:tab/>
      </w:r>
      <w:r w:rsidR="00FD0EA6" w:rsidRPr="00FD0EA6">
        <w:rPr>
          <w:lang w:val="es-ES"/>
        </w:rPr>
        <w:t xml:space="preserve">La Asamblea sobre Hidrología, en su segunda reunión, </w:t>
      </w:r>
      <w:r w:rsidR="00BE328D">
        <w:rPr>
          <w:lang w:val="es-ES"/>
        </w:rPr>
        <w:t>hizo suya</w:t>
      </w:r>
      <w:r w:rsidR="00BE328D" w:rsidRPr="00FD0EA6">
        <w:rPr>
          <w:lang w:val="es-ES"/>
        </w:rPr>
        <w:t xml:space="preserve"> </w:t>
      </w:r>
      <w:r w:rsidR="00FD0EA6" w:rsidRPr="00FD0EA6">
        <w:rPr>
          <w:lang w:val="es-ES"/>
        </w:rPr>
        <w:t xml:space="preserve">la inclusión de los centros hidrológicos en el </w:t>
      </w:r>
      <w:r w:rsidR="00FD0EA6" w:rsidRPr="00FD0EA6">
        <w:rPr>
          <w:i/>
          <w:iCs/>
          <w:lang w:val="es-ES"/>
        </w:rPr>
        <w:t>Manual del Sistema Mundial de Proceso de Datos y de Predicción</w:t>
      </w:r>
      <w:r w:rsidR="00FD0EA6" w:rsidRPr="00FD0EA6">
        <w:rPr>
          <w:lang w:val="es-ES"/>
        </w:rPr>
        <w:t xml:space="preserve"> y la recomendación </w:t>
      </w:r>
      <w:r w:rsidR="005D1644">
        <w:rPr>
          <w:lang w:val="es-ES"/>
        </w:rPr>
        <w:t xml:space="preserve">formulada </w:t>
      </w:r>
      <w:r w:rsidR="00FD0EA6" w:rsidRPr="00FD0EA6">
        <w:rPr>
          <w:lang w:val="es-ES"/>
        </w:rPr>
        <w:t xml:space="preserve">a la Comisión de Servicios y a la Comisión de Infraestructura para que tomaran las medidas necesarias para la presentación de los documentos correspondientes para su aprobación en el Decimonoveno Congreso Meteorológico Mundial </w:t>
      </w:r>
      <w:r w:rsidR="00F77295">
        <w:rPr>
          <w:lang w:val="es-ES"/>
        </w:rPr>
        <w:t xml:space="preserve">de </w:t>
      </w:r>
      <w:r w:rsidR="00FD0EA6" w:rsidRPr="00FD0EA6">
        <w:rPr>
          <w:lang w:val="es-ES"/>
        </w:rPr>
        <w:t>2023, tal y como indica la Recomendación 7 de la Asamblea sobre Hidrología (</w:t>
      </w:r>
      <w:hyperlink r:id="rId17" w:anchor="page=102" w:history="1">
        <w:r w:rsidR="00FD0EA6" w:rsidRPr="00BC11B5">
          <w:rPr>
            <w:rStyle w:val="Hyperlink"/>
            <w:lang w:val="es-ES"/>
          </w:rPr>
          <w:t>Cg-Ext(2021)/INF 3.1(2)</w:t>
        </w:r>
      </w:hyperlink>
      <w:r w:rsidR="00FD0EA6" w:rsidRPr="00FD0EA6">
        <w:rPr>
          <w:lang w:val="es-ES"/>
        </w:rPr>
        <w:t>), adoptada por el Congreso (</w:t>
      </w:r>
      <w:hyperlink r:id="rId18" w:anchor="page=164" w:history="1">
        <w:r w:rsidR="0091251E">
          <w:rPr>
            <w:rStyle w:val="Hyperlink"/>
            <w:lang w:val="es-ES"/>
          </w:rPr>
          <w:t>Resolución 5 (Cg-Ext(2021))</w:t>
        </w:r>
      </w:hyperlink>
      <w:r w:rsidR="00A02045">
        <w:rPr>
          <w:lang w:val="es-ES"/>
        </w:rPr>
        <w:t>)</w:t>
      </w:r>
      <w:r w:rsidR="00FD0EA6" w:rsidRPr="00FD0EA6">
        <w:rPr>
          <w:lang w:val="es-ES"/>
        </w:rPr>
        <w:t xml:space="preserve"> — Ejecución avanzada de los elementos del Plan de Acción de Hidrología).</w:t>
      </w:r>
    </w:p>
    <w:p w14:paraId="2DD1C315" w14:textId="18568241" w:rsidR="00E55774" w:rsidRDefault="00E55774" w:rsidP="00BC2C42">
      <w:pPr>
        <w:pStyle w:val="WMOBodyText"/>
        <w:tabs>
          <w:tab w:val="left" w:pos="567"/>
        </w:tabs>
        <w:ind w:hanging="11"/>
        <w:rPr>
          <w:lang w:val="es-ES"/>
        </w:rPr>
      </w:pPr>
      <w:r>
        <w:rPr>
          <w:lang w:val="es-ES"/>
        </w:rPr>
        <w:t>4)</w:t>
      </w:r>
      <w:r>
        <w:rPr>
          <w:lang w:val="es-ES"/>
        </w:rPr>
        <w:tab/>
      </w:r>
      <w:r w:rsidR="00FD0EA6" w:rsidRPr="00FD0EA6">
        <w:rPr>
          <w:lang w:val="es-ES"/>
        </w:rPr>
        <w:t xml:space="preserve">La </w:t>
      </w:r>
      <w:hyperlink r:id="rId19" w:anchor="page=172" w:history="1">
        <w:r w:rsidR="00FD0EA6" w:rsidRPr="00BC11B5">
          <w:rPr>
            <w:rStyle w:val="Hyperlink"/>
            <w:lang w:val="es-ES"/>
          </w:rPr>
          <w:t>Resolución 18 (EC-69)</w:t>
        </w:r>
      </w:hyperlink>
      <w:r w:rsidR="00FD0EA6" w:rsidRPr="00FD0EA6">
        <w:rPr>
          <w:lang w:val="es-ES"/>
        </w:rPr>
        <w:t xml:space="preserve"> — Versión revisada del </w:t>
      </w:r>
      <w:r w:rsidR="00FD0EA6" w:rsidRPr="00FD0EA6">
        <w:rPr>
          <w:i/>
          <w:iCs/>
          <w:lang w:val="es-ES"/>
        </w:rPr>
        <w:t>Manual del Sistema Mundial de Proceso de Datos y de Predicción</w:t>
      </w:r>
      <w:r w:rsidR="00FD0EA6" w:rsidRPr="00FD0EA6">
        <w:rPr>
          <w:lang w:val="es-ES"/>
        </w:rPr>
        <w:t xml:space="preserve"> (OMM-Nº 485), aprobó la publicación de la versión revisada del Manual, incluida la adición de nuevos tipos de centros, tales como los Centros Meteorológicos Regionales Especializados (CMRE) relacionados con el ámbito marino.</w:t>
      </w:r>
    </w:p>
    <w:p w14:paraId="64E2EAEF" w14:textId="3E688A76" w:rsidR="00E55774" w:rsidRDefault="00E55774" w:rsidP="00BC2C42">
      <w:pPr>
        <w:pStyle w:val="WMOBodyText"/>
        <w:tabs>
          <w:tab w:val="left" w:pos="567"/>
        </w:tabs>
        <w:ind w:hanging="11"/>
        <w:rPr>
          <w:lang w:val="es-ES"/>
        </w:rPr>
      </w:pPr>
      <w:r>
        <w:rPr>
          <w:lang w:val="es-ES"/>
        </w:rPr>
        <w:t>5)</w:t>
      </w:r>
      <w:r>
        <w:rPr>
          <w:lang w:val="es-ES"/>
        </w:rPr>
        <w:tab/>
      </w:r>
      <w:r w:rsidR="00FD0EA6" w:rsidRPr="00FD0EA6">
        <w:rPr>
          <w:lang w:val="es-ES"/>
        </w:rPr>
        <w:t xml:space="preserve">La </w:t>
      </w:r>
      <w:hyperlink r:id="rId20" w:anchor="page=10" w:history="1">
        <w:r w:rsidR="00FD0EA6" w:rsidRPr="00BC11B5">
          <w:rPr>
            <w:rStyle w:val="Hyperlink"/>
            <w:lang w:val="es-ES"/>
          </w:rPr>
          <w:t>Resolución 1 (Cg-Ext(2021))</w:t>
        </w:r>
      </w:hyperlink>
      <w:r w:rsidR="00FD0EA6" w:rsidRPr="00FD0EA6">
        <w:rPr>
          <w:lang w:val="es-ES"/>
        </w:rPr>
        <w:t xml:space="preserve"> — Política Unificada de la Organización Meteorológica Mundial para el Intercambio Internacional de Datos del Sistema Tierra, hace referencia a los apéndices 2.2.1, 2.2.3, 2.2.5 y 2.2.7 del Manual, en los cuales se señala que las "trayectorias de tormentas tropicales (localizaciones de latitud/longitud, velocidad máxima de los vientos sostenidos, presión media al nivel del mar)" conforman "otros productos recomendados".</w:t>
      </w:r>
    </w:p>
    <w:p w14:paraId="0F80A675" w14:textId="40A149ED" w:rsidR="00E55774" w:rsidRDefault="00E55774" w:rsidP="00E55774">
      <w:pPr>
        <w:pStyle w:val="WMOBodyText"/>
        <w:tabs>
          <w:tab w:val="left" w:pos="567"/>
        </w:tabs>
        <w:ind w:hanging="11"/>
        <w:rPr>
          <w:lang w:val="es-ES"/>
        </w:rPr>
      </w:pPr>
      <w:r>
        <w:rPr>
          <w:lang w:val="es-ES"/>
        </w:rPr>
        <w:t>6)</w:t>
      </w:r>
      <w:r>
        <w:rPr>
          <w:lang w:val="es-ES"/>
        </w:rPr>
        <w:tab/>
      </w:r>
      <w:r w:rsidR="00FD0EA6" w:rsidRPr="00FD0EA6">
        <w:rPr>
          <w:lang w:val="es-ES"/>
        </w:rPr>
        <w:t>Cabe destacar que la amplia variedad de servicios provistos bajo el paradigma del Sistema Mundial de Proceso de Datos y de Predicción Sin Discontinuidad, que van más allá de los servicios meteorológicos y climáticos, no se ven representados de forma precisa por la expresión "Centros Meteorológicos Regionales Especializados" (CMRE). Sin embargo, debe reconocerse que su uso se ha extendido por un largo tiempo como una denominación común para los centros que brindan valiosos productos y servicios relacionados con el GDPFS.</w:t>
      </w:r>
    </w:p>
    <w:p w14:paraId="29770D9E" w14:textId="3E58518E" w:rsidR="00E55774" w:rsidRPr="004D0B08" w:rsidRDefault="00E55774" w:rsidP="00E55774">
      <w:pPr>
        <w:pStyle w:val="WMOBodyText"/>
        <w:tabs>
          <w:tab w:val="left" w:pos="567"/>
        </w:tabs>
        <w:ind w:hanging="11"/>
        <w:rPr>
          <w:lang w:val="es-ES"/>
        </w:rPr>
      </w:pPr>
      <w:r>
        <w:rPr>
          <w:lang w:val="es-ES"/>
        </w:rPr>
        <w:t>7)</w:t>
      </w:r>
      <w:r>
        <w:rPr>
          <w:lang w:val="es-ES"/>
        </w:rPr>
        <w:tab/>
      </w:r>
      <w:r w:rsidR="00FD0EA6" w:rsidRPr="00FD0EA6">
        <w:rPr>
          <w:lang w:val="es-ES"/>
        </w:rPr>
        <w:t xml:space="preserve">Para evitar una burocracia innecesaria y una posible confusión entre los Miembros con respecto al proceso para enmendar el </w:t>
      </w:r>
      <w:r w:rsidR="00FD0EA6" w:rsidRPr="00FD0EA6">
        <w:rPr>
          <w:i/>
          <w:iCs/>
          <w:lang w:val="es-ES"/>
        </w:rPr>
        <w:t>Manual del Sistema Mundial de Proceso de Datos y de Predicción</w:t>
      </w:r>
      <w:r w:rsidR="00FD0EA6" w:rsidRPr="00FD0EA6">
        <w:rPr>
          <w:lang w:val="es-ES"/>
        </w:rPr>
        <w:t xml:space="preserve"> (OMM-Nº 485), la Comisión de Servicios decidió autorizar a su Grupo de gestión a </w:t>
      </w:r>
      <w:r w:rsidR="00FD0EA6" w:rsidRPr="00FD0EA6">
        <w:rPr>
          <w:lang w:val="es-ES"/>
        </w:rPr>
        <w:lastRenderedPageBreak/>
        <w:t xml:space="preserve">examinar las futuras solicitudes de enmiendas al </w:t>
      </w:r>
      <w:r w:rsidR="00FD0EA6" w:rsidRPr="00FD0EA6">
        <w:rPr>
          <w:i/>
          <w:iCs/>
          <w:lang w:val="es-ES"/>
        </w:rPr>
        <w:t xml:space="preserve">Manual del Sistema Mundial de Proceso de Datos y de Predicción </w:t>
      </w:r>
      <w:r w:rsidR="00FD0EA6" w:rsidRPr="00FD0EA6">
        <w:rPr>
          <w:lang w:val="es-ES"/>
        </w:rPr>
        <w:t>(OMM-Nº 485), y alentó a sus comités permanentes a que informen las necesidades futuras al Comité Permanente de Proceso de Datos para la Modelización y Predicción Aplicadas del Sistema Tierra (SC-ESMP) de la Comisión de Infraestructura.</w:t>
      </w:r>
    </w:p>
    <w:p w14:paraId="130AB7E5" w14:textId="77777777" w:rsidR="00BC2C42" w:rsidRDefault="00BC2C42">
      <w:pPr>
        <w:tabs>
          <w:tab w:val="clear" w:pos="1134"/>
        </w:tabs>
        <w:jc w:val="left"/>
        <w:rPr>
          <w:lang w:val="es-ES"/>
        </w:rPr>
      </w:pPr>
      <w:r>
        <w:rPr>
          <w:lang w:val="es-ES"/>
        </w:rPr>
        <w:br w:type="page"/>
      </w:r>
    </w:p>
    <w:p w14:paraId="1D3D9566" w14:textId="1EC14F6F" w:rsidR="00814CC6" w:rsidRPr="001527A3" w:rsidRDefault="001527A3" w:rsidP="00290495">
      <w:pPr>
        <w:pStyle w:val="Heading1"/>
        <w:spacing w:before="0"/>
        <w:rPr>
          <w:lang w:val="es-ES"/>
        </w:rPr>
      </w:pPr>
      <w:r w:rsidRPr="001527A3">
        <w:rPr>
          <w:lang w:val="es-ES"/>
        </w:rPr>
        <w:lastRenderedPageBreak/>
        <w:t>PROYECTO</w:t>
      </w:r>
      <w:r w:rsidR="00FD0EA6" w:rsidRPr="00FD0EA6">
        <w:rPr>
          <w:lang w:val="es-ES"/>
        </w:rPr>
        <w:t>s</w:t>
      </w:r>
      <w:r w:rsidRPr="001527A3">
        <w:rPr>
          <w:lang w:val="es-ES"/>
        </w:rPr>
        <w:t xml:space="preserve"> DE RESOLUCIÓN</w:t>
      </w:r>
    </w:p>
    <w:p w14:paraId="5E992F49" w14:textId="62572081" w:rsidR="00814CC6" w:rsidRPr="001D3CFB" w:rsidRDefault="001527A3" w:rsidP="001527A3">
      <w:pPr>
        <w:pStyle w:val="Heading2"/>
      </w:pPr>
      <w:r w:rsidRPr="007F7A32">
        <w:t xml:space="preserve">Proyecto de </w:t>
      </w:r>
      <w:r w:rsidRPr="001527A3">
        <w:t>Resolución</w:t>
      </w:r>
      <w:r w:rsidRPr="007F7A32">
        <w:t xml:space="preserve"> </w:t>
      </w:r>
      <w:r w:rsidR="00FD0EA6">
        <w:t>5.1(1)</w:t>
      </w:r>
      <w:r w:rsidRPr="007F7A32">
        <w:t>/1</w:t>
      </w:r>
      <w:r w:rsidR="00814CC6" w:rsidRPr="001D3CFB">
        <w:t xml:space="preserve"> </w:t>
      </w:r>
      <w:r w:rsidR="00A41E35">
        <w:t>(</w:t>
      </w:r>
      <w:r w:rsidR="009F5A1D">
        <w:t>SERCOM-2</w:t>
      </w:r>
      <w:r w:rsidR="00A41E35">
        <w:t>)</w:t>
      </w:r>
    </w:p>
    <w:p w14:paraId="35B7FD6E" w14:textId="3BCAB1BB" w:rsidR="00814CC6" w:rsidRPr="00FD0EA6" w:rsidRDefault="00FD0EA6" w:rsidP="001D3CFB">
      <w:pPr>
        <w:pStyle w:val="Heading2"/>
      </w:pPr>
      <w:r>
        <w:t xml:space="preserve">Puesta al día del </w:t>
      </w:r>
      <w:r>
        <w:rPr>
          <w:i/>
          <w:iCs w:val="0"/>
        </w:rPr>
        <w:t xml:space="preserve">Manual del Sistema Mundial de Proceso de Datos </w:t>
      </w:r>
      <w:r w:rsidR="007747A0">
        <w:rPr>
          <w:i/>
          <w:iCs w:val="0"/>
        </w:rPr>
        <w:br/>
      </w:r>
      <w:r>
        <w:rPr>
          <w:i/>
          <w:iCs w:val="0"/>
        </w:rPr>
        <w:t>y de Predicción</w:t>
      </w:r>
      <w:r>
        <w:t xml:space="preserve"> (</w:t>
      </w:r>
      <w:r w:rsidRPr="00FD0EA6">
        <w:t>OMM-Nº 485</w:t>
      </w:r>
      <w:r>
        <w:t xml:space="preserve">) propuesta por los comités permanentes </w:t>
      </w:r>
      <w:r w:rsidR="007747A0">
        <w:br/>
      </w:r>
      <w:r>
        <w:t xml:space="preserve">de la </w:t>
      </w:r>
      <w:r w:rsidR="007747A0" w:rsidRPr="007747A0">
        <w:t>Comisión de Aplicaciones y Servicios Meteorológicos, Climáticos, Hidrológicos y Medioambientales Conexos</w:t>
      </w:r>
    </w:p>
    <w:p w14:paraId="6E822CBD" w14:textId="77777777" w:rsidR="002204FD" w:rsidRPr="001527A3" w:rsidRDefault="007D650E" w:rsidP="003245D3">
      <w:pPr>
        <w:pStyle w:val="WMOBodyText"/>
        <w:rPr>
          <w:lang w:val="es-ES"/>
        </w:rPr>
      </w:pPr>
      <w:r>
        <w:rPr>
          <w:lang w:val="es-ES"/>
        </w:rPr>
        <w:t>LA COMISIÓN DE APLICACIONES Y SERVICIOS METEOROLÓGICOS, CLIMÁTICOS, HIDROLÓGICOS Y MEDIOAMBIENTALES CONEXOS</w:t>
      </w:r>
      <w:r w:rsidR="006B5518">
        <w:rPr>
          <w:lang w:val="es-ES"/>
        </w:rPr>
        <w:t xml:space="preserve"> (SERCOM)</w:t>
      </w:r>
      <w:r w:rsidR="001527A3" w:rsidRPr="001527A3">
        <w:rPr>
          <w:lang w:val="es-ES"/>
        </w:rPr>
        <w:t>,</w:t>
      </w:r>
    </w:p>
    <w:p w14:paraId="0D0D1271" w14:textId="77777777" w:rsidR="00FD0EA6" w:rsidRDefault="00FD0EA6" w:rsidP="00FD0EA6">
      <w:pPr>
        <w:pStyle w:val="WMOBodyText"/>
        <w:rPr>
          <w:b/>
          <w:bCs/>
        </w:rPr>
      </w:pPr>
      <w:r>
        <w:rPr>
          <w:b/>
          <w:bCs/>
          <w:lang w:val="es-ES"/>
        </w:rPr>
        <w:t>Recordando:</w:t>
      </w:r>
    </w:p>
    <w:p w14:paraId="49892735" w14:textId="155A66C1" w:rsidR="00FD0EA6" w:rsidRDefault="00FD0EA6" w:rsidP="00FD0EA6">
      <w:pPr>
        <w:pStyle w:val="WMOBodyText"/>
        <w:numPr>
          <w:ilvl w:val="0"/>
          <w:numId w:val="47"/>
        </w:numPr>
        <w:ind w:left="567" w:hanging="567"/>
        <w:rPr>
          <w:b/>
          <w:bCs/>
        </w:rPr>
      </w:pPr>
      <w:r>
        <w:t xml:space="preserve">la </w:t>
      </w:r>
      <w:hyperlink r:id="rId21" w:anchor="page=108" w:history="1">
        <w:r w:rsidRPr="00A02045">
          <w:rPr>
            <w:rStyle w:val="Hyperlink"/>
          </w:rPr>
          <w:t>Resolución 8 (SERCOM-1)</w:t>
        </w:r>
      </w:hyperlink>
      <w:r>
        <w:t xml:space="preserve"> — Establecimiento de centros hidrológicos de la Organización Meteorológica Mundial en el marco del Sistema Mundial de Proceso de Datos y de Predicción, y la </w:t>
      </w:r>
      <w:hyperlink r:id="rId22" w:anchor="page=151" w:history="1">
        <w:r w:rsidRPr="00A02045">
          <w:rPr>
            <w:rStyle w:val="Hyperlink"/>
          </w:rPr>
          <w:t>Resolución 12 (INFCOM-1)</w:t>
        </w:r>
      </w:hyperlink>
      <w:r>
        <w:t xml:space="preserve"> — Marco conceptual para el establecimiento de centros del Sistema Mundial de Proceso de Datos y de Predicción para la prestación de servicios hidrológicos, </w:t>
      </w:r>
    </w:p>
    <w:p w14:paraId="2DB1F1E6" w14:textId="75C9015C" w:rsidR="00FD0EA6" w:rsidRDefault="00FD0EA6" w:rsidP="00FD0EA6">
      <w:pPr>
        <w:pStyle w:val="WMOBodyText"/>
        <w:numPr>
          <w:ilvl w:val="0"/>
          <w:numId w:val="47"/>
        </w:numPr>
        <w:ind w:left="567" w:hanging="567"/>
        <w:rPr>
          <w:b/>
          <w:bCs/>
        </w:rPr>
      </w:pPr>
      <w:r>
        <w:rPr>
          <w:lang w:val="es-ES"/>
        </w:rPr>
        <w:t>la Recomendación 7 de la Asamblea sobre Hidrología (</w:t>
      </w:r>
      <w:hyperlink r:id="rId23" w:anchor="page=102" w:history="1">
        <w:r w:rsidRPr="00A02045">
          <w:rPr>
            <w:rStyle w:val="Hyperlink"/>
            <w:lang w:val="es-ES"/>
          </w:rPr>
          <w:t>Cg-Ext(2021)/INF 3.1(2)</w:t>
        </w:r>
      </w:hyperlink>
      <w:r>
        <w:rPr>
          <w:lang w:val="es-ES"/>
        </w:rPr>
        <w:t>), adoptada por el Congreso (</w:t>
      </w:r>
      <w:hyperlink r:id="rId24" w:anchor="page=164" w:history="1">
        <w:r w:rsidR="00342661">
          <w:rPr>
            <w:rStyle w:val="Hyperlink"/>
            <w:lang w:val="es-ES"/>
          </w:rPr>
          <w:t>Resolución 5 (Cg-Ext(2021))</w:t>
        </w:r>
      </w:hyperlink>
      <w:r>
        <w:rPr>
          <w:lang w:val="es-ES"/>
        </w:rPr>
        <w:t xml:space="preserve"> — Ejecución avanzada de los elementos del Plan de Acción de Hidrología),</w:t>
      </w:r>
    </w:p>
    <w:p w14:paraId="1E99CFA3" w14:textId="568CE46A" w:rsidR="00FD0EA6" w:rsidRDefault="00FD0EA6" w:rsidP="00FD0EA6">
      <w:pPr>
        <w:pStyle w:val="WMOBodyText"/>
        <w:numPr>
          <w:ilvl w:val="0"/>
          <w:numId w:val="47"/>
        </w:numPr>
        <w:ind w:left="567" w:hanging="567"/>
        <w:rPr>
          <w:b/>
          <w:bCs/>
        </w:rPr>
      </w:pPr>
      <w:r>
        <w:t xml:space="preserve">la </w:t>
      </w:r>
      <w:hyperlink r:id="rId25" w:anchor="page=172" w:history="1">
        <w:r w:rsidRPr="00A02045">
          <w:rPr>
            <w:rStyle w:val="Hyperlink"/>
          </w:rPr>
          <w:t>Resolución 18 (EC-69)</w:t>
        </w:r>
      </w:hyperlink>
      <w:r>
        <w:t xml:space="preserve"> — Versión revisada del </w:t>
      </w:r>
      <w:r>
        <w:rPr>
          <w:i/>
          <w:iCs/>
        </w:rPr>
        <w:t xml:space="preserve">Manual del Sistema Mundial de Proceso de Datos y de Predicción </w:t>
      </w:r>
      <w:r>
        <w:t>(OMM-Nº 485)</w:t>
      </w:r>
      <w:r w:rsidR="00524973">
        <w:t>,</w:t>
      </w:r>
    </w:p>
    <w:p w14:paraId="0DBF53D8" w14:textId="0D47E8DB" w:rsidR="00FD0EA6" w:rsidRDefault="00FD0EA6" w:rsidP="00FD0EA6">
      <w:pPr>
        <w:pStyle w:val="WMOBodyText"/>
        <w:numPr>
          <w:ilvl w:val="0"/>
          <w:numId w:val="47"/>
        </w:numPr>
        <w:ind w:left="567" w:hanging="567"/>
        <w:rPr>
          <w:b/>
          <w:bCs/>
        </w:rPr>
      </w:pPr>
      <w:r>
        <w:t xml:space="preserve">la </w:t>
      </w:r>
      <w:hyperlink r:id="rId26" w:anchor="page=10" w:history="1">
        <w:r w:rsidR="00342661">
          <w:rPr>
            <w:rStyle w:val="Hyperlink"/>
          </w:rPr>
          <w:t>Resolución 1 (Cg-Ext(2021))</w:t>
        </w:r>
      </w:hyperlink>
      <w:r>
        <w:t xml:space="preserve"> — Política Unificada de la Organización Meteorológica Mundial para el Intercambio Internacional de Datos del Sistema Tierra,</w:t>
      </w:r>
    </w:p>
    <w:p w14:paraId="00003EB8" w14:textId="4B820823" w:rsidR="00FD0EA6" w:rsidRDefault="00FD0EA6" w:rsidP="00FD0EA6">
      <w:pPr>
        <w:pStyle w:val="WMOBodyText"/>
        <w:numPr>
          <w:ilvl w:val="0"/>
          <w:numId w:val="47"/>
        </w:numPr>
        <w:ind w:left="567" w:hanging="567"/>
        <w:rPr>
          <w:b/>
          <w:bCs/>
        </w:rPr>
      </w:pPr>
      <w:r>
        <w:t xml:space="preserve">la </w:t>
      </w:r>
      <w:hyperlink r:id="rId27" w:anchor="page=45" w:history="1">
        <w:r w:rsidRPr="00A02045">
          <w:rPr>
            <w:rStyle w:val="Hyperlink"/>
          </w:rPr>
          <w:t>Resolución 7 (Cg-18)</w:t>
        </w:r>
      </w:hyperlink>
      <w:r>
        <w:t xml:space="preserve"> — Establecimiento de las comisiones técnicas de la Organización Meteorológica Mundial para el decimoctavo período financiero,</w:t>
      </w:r>
    </w:p>
    <w:p w14:paraId="2472C3A1" w14:textId="3188A8C0" w:rsidR="00FD0EA6" w:rsidRDefault="00FD0EA6" w:rsidP="00FD0EA6">
      <w:pPr>
        <w:pStyle w:val="WMOBodyText"/>
        <w:rPr>
          <w:rStyle w:val="eop"/>
          <w:color w:val="000000"/>
          <w:shd w:val="clear" w:color="auto" w:fill="FFFFFF"/>
        </w:rPr>
      </w:pPr>
      <w:r>
        <w:rPr>
          <w:b/>
          <w:bCs/>
          <w:lang w:val="es-ES"/>
        </w:rPr>
        <w:t>Observando</w:t>
      </w:r>
      <w:r>
        <w:rPr>
          <w:lang w:val="es-ES"/>
        </w:rPr>
        <w:t xml:space="preserve"> que el mandato específico de la </w:t>
      </w:r>
      <w:r w:rsidR="003468EB">
        <w:rPr>
          <w:lang w:val="es-ES"/>
        </w:rPr>
        <w:t xml:space="preserve">Comisión de Observaciones, Infraestructura y Sistemas de Información (INFCOM) </w:t>
      </w:r>
      <w:r>
        <w:rPr>
          <w:lang w:val="es-ES"/>
        </w:rPr>
        <w:t>incluye la elaboración y el mantenimiento de los textos normativos de la OMM relacionados con los sistemas de proceso de datos y de predicción, como se establece en el Reglamento Técnico de la OMM,</w:t>
      </w:r>
    </w:p>
    <w:p w14:paraId="61C7C676" w14:textId="15F54AE9" w:rsidR="00FD0EA6" w:rsidRDefault="00FD0EA6" w:rsidP="00FD0EA6">
      <w:pPr>
        <w:pStyle w:val="WMOBodyText"/>
        <w:rPr>
          <w:i/>
          <w:iCs/>
        </w:rPr>
      </w:pPr>
      <w:r>
        <w:rPr>
          <w:b/>
          <w:bCs/>
          <w:lang w:val="es-ES"/>
        </w:rPr>
        <w:t>Habiendo examinado</w:t>
      </w:r>
      <w:r>
        <w:rPr>
          <w:lang w:val="es-ES"/>
        </w:rPr>
        <w:t xml:space="preserve"> las solicitudes del Comité Permanente de Servicios Hidrológicos (SC</w:t>
      </w:r>
      <w:r w:rsidR="00630900">
        <w:rPr>
          <w:lang w:val="es-ES"/>
        </w:rPr>
        <w:noBreakHyphen/>
      </w:r>
      <w:r>
        <w:rPr>
          <w:lang w:val="es-ES"/>
        </w:rPr>
        <w:t>HYD)</w:t>
      </w:r>
      <w:ins w:id="4" w:author="Eduardo RICO VILAR" w:date="2022-10-14T15:43:00Z">
        <w:r w:rsidR="00FA7CF3">
          <w:rPr>
            <w:lang w:val="es-ES"/>
          </w:rPr>
          <w:t xml:space="preserve">, elaboradas por el </w:t>
        </w:r>
        <w:r w:rsidR="003A146A" w:rsidRPr="003A146A">
          <w:rPr>
            <w:lang w:val="es-ES"/>
          </w:rPr>
          <w:t>Comité Permanente de Proceso de Datos para la Modelización y Predicción Aplicadas del Sistema Tierra</w:t>
        </w:r>
        <w:r w:rsidR="003A146A">
          <w:rPr>
            <w:lang w:val="es-ES"/>
          </w:rPr>
          <w:t xml:space="preserve"> (SC-ESMP) y el </w:t>
        </w:r>
      </w:ins>
      <w:ins w:id="5" w:author="Eduardo RICO VILAR" w:date="2022-10-14T15:44:00Z">
        <w:r w:rsidR="00F45C31" w:rsidRPr="00F45C31">
          <w:rPr>
            <w:lang w:val="es-ES"/>
          </w:rPr>
          <w:t>Grupo de Estudio sobre las Funciones Transversales de la Criosfera</w:t>
        </w:r>
        <w:r w:rsidR="00F45C31">
          <w:rPr>
            <w:lang w:val="es-ES"/>
          </w:rPr>
          <w:t xml:space="preserve"> (SG-CRYO),</w:t>
        </w:r>
      </w:ins>
      <w:r>
        <w:rPr>
          <w:lang w:val="es-ES"/>
        </w:rPr>
        <w:t xml:space="preserve"> y el Comité Permanente de Servicios Meteorológicos Marinos y Oceanográficos (SC-MMO) acerca del </w:t>
      </w:r>
      <w:hyperlink r:id="rId28" w:anchor=".Y0WA_LRBxmA" w:history="1">
        <w:r w:rsidRPr="00A02045">
          <w:rPr>
            <w:rStyle w:val="Hyperlink"/>
            <w:i/>
            <w:iCs/>
            <w:lang w:val="es-ES"/>
          </w:rPr>
          <w:t>Manual del Sistema Mundial de Proceso de Datos y de Predicción</w:t>
        </w:r>
      </w:hyperlink>
      <w:r>
        <w:rPr>
          <w:i/>
          <w:iCs/>
          <w:lang w:val="es-ES"/>
        </w:rPr>
        <w:t xml:space="preserve"> </w:t>
      </w:r>
      <w:r>
        <w:rPr>
          <w:lang w:val="es-ES"/>
        </w:rPr>
        <w:t>(OMM-Nº 485)</w:t>
      </w:r>
      <w:ins w:id="6" w:author="Eduardo RICO VILAR" w:date="2022-10-14T15:44:00Z">
        <w:r w:rsidR="00796A61">
          <w:rPr>
            <w:lang w:val="es-ES"/>
          </w:rPr>
          <w:t xml:space="preserve">, que figuran en el </w:t>
        </w:r>
        <w:r w:rsidR="00A74219">
          <w:rPr>
            <w:lang w:val="es-ES"/>
          </w:rPr>
          <w:t xml:space="preserve">documento </w:t>
        </w:r>
      </w:ins>
      <w:ins w:id="7" w:author="Eduardo RICO VILAR" w:date="2022-10-14T15:45:00Z">
        <w:r w:rsidR="00165431">
          <w:rPr>
            <w:bCs/>
          </w:rPr>
          <w:fldChar w:fldCharType="begin"/>
        </w:r>
        <w:r w:rsidR="00165431">
          <w:rPr>
            <w:bCs/>
          </w:rPr>
          <w:instrText xml:space="preserve"> HYPERLINK "https://meetings.wmo.int/SERCOM-2/InformationDocuments/Forms/AllItems.aspx" </w:instrText>
        </w:r>
        <w:r w:rsidR="00165431">
          <w:rPr>
            <w:bCs/>
          </w:rPr>
          <w:fldChar w:fldCharType="separate"/>
        </w:r>
        <w:r w:rsidR="00165431" w:rsidRPr="005771D9">
          <w:rPr>
            <w:rStyle w:val="Hyperlink"/>
            <w:bCs/>
          </w:rPr>
          <w:t>SERCOM-2</w:t>
        </w:r>
        <w:bookmarkStart w:id="8" w:name="_GoBack"/>
        <w:bookmarkEnd w:id="8"/>
        <w:r w:rsidR="00165431" w:rsidRPr="005771D9">
          <w:rPr>
            <w:rStyle w:val="Hyperlink"/>
            <w:bCs/>
          </w:rPr>
          <w:t>/</w:t>
        </w:r>
        <w:r w:rsidR="00165431" w:rsidRPr="005771D9">
          <w:rPr>
            <w:rStyle w:val="Hyperlink"/>
            <w:bCs/>
          </w:rPr>
          <w:t>INF. 5.1(1)</w:t>
        </w:r>
        <w:r w:rsidR="00165431">
          <w:rPr>
            <w:bCs/>
          </w:rPr>
          <w:fldChar w:fldCharType="end"/>
        </w:r>
        <w:r w:rsidR="00165431">
          <w:rPr>
            <w:bCs/>
          </w:rPr>
          <w:t>,</w:t>
        </w:r>
      </w:ins>
      <w:r>
        <w:rPr>
          <w:lang w:val="es-ES"/>
        </w:rPr>
        <w:t xml:space="preserve"> con respecto a los siguientes puntos:</w:t>
      </w:r>
    </w:p>
    <w:p w14:paraId="481595BA" w14:textId="0D7A9CFB" w:rsidR="00FD0EA6" w:rsidRPr="00FD0EA6" w:rsidRDefault="00FD0EA6" w:rsidP="00B777EE">
      <w:pPr>
        <w:pStyle w:val="ListParagraph"/>
        <w:numPr>
          <w:ilvl w:val="0"/>
          <w:numId w:val="46"/>
        </w:numPr>
        <w:spacing w:before="240"/>
        <w:ind w:left="567" w:hanging="567"/>
        <w:contextualSpacing w:val="0"/>
        <w:jc w:val="left"/>
        <w:rPr>
          <w:rFonts w:eastAsia="Verdana" w:cs="Verdana"/>
          <w:lang w:val="es-ES"/>
        </w:rPr>
      </w:pPr>
      <w:r>
        <w:rPr>
          <w:lang w:val="es-ES"/>
        </w:rPr>
        <w:t>la explicación de la función del Asesor Hidrológico en el proceso de designación de Centros Meteorológicos Regionales Especializados</w:t>
      </w:r>
      <w:r w:rsidR="00EE7D72">
        <w:rPr>
          <w:lang w:val="es-ES"/>
        </w:rPr>
        <w:t xml:space="preserve"> </w:t>
      </w:r>
      <w:r>
        <w:rPr>
          <w:lang w:val="es-ES"/>
        </w:rPr>
        <w:t>(CMRE) pertinentes para los ámbitos de la hidrología operativa y de su aplicación a la gestión del agua,</w:t>
      </w:r>
    </w:p>
    <w:p w14:paraId="7F1DD9E2" w14:textId="71A5F47E" w:rsidR="00FD0EA6" w:rsidRDefault="00FD0EA6" w:rsidP="00FD0EA6">
      <w:pPr>
        <w:pStyle w:val="WMOBodyText"/>
        <w:numPr>
          <w:ilvl w:val="0"/>
          <w:numId w:val="46"/>
        </w:numPr>
        <w:ind w:left="567" w:hanging="567"/>
      </w:pPr>
      <w:r>
        <w:rPr>
          <w:lang w:val="es-ES"/>
        </w:rPr>
        <w:t>la inclusión de nuevos criterios de designación de los CMRE para la predicción hidrológica subestacional a estacional, la predicción de capa de nieve y la predicción de crecidas repentinas,</w:t>
      </w:r>
    </w:p>
    <w:p w14:paraId="373CA0B9" w14:textId="77777777" w:rsidR="00FD0EA6" w:rsidRDefault="00FD0EA6" w:rsidP="00FD0EA6">
      <w:pPr>
        <w:pStyle w:val="WMOBodyText"/>
        <w:numPr>
          <w:ilvl w:val="0"/>
          <w:numId w:val="46"/>
        </w:numPr>
        <w:ind w:left="567" w:hanging="567"/>
      </w:pPr>
      <w:r>
        <w:rPr>
          <w:lang w:val="es-ES"/>
        </w:rPr>
        <w:lastRenderedPageBreak/>
        <w:t>la puesta al día de los criterios de designación de los CMRE para la predicción numérica oceánica a nivel mundial y para la predicción numérica de las olas oceánicas,</w:t>
      </w:r>
    </w:p>
    <w:p w14:paraId="2BEEA928" w14:textId="28AAC89D" w:rsidR="00FD0EA6" w:rsidRDefault="00FD0EA6" w:rsidP="00FD0EA6">
      <w:pPr>
        <w:pStyle w:val="WMOBodyText"/>
        <w:numPr>
          <w:ilvl w:val="0"/>
          <w:numId w:val="46"/>
        </w:numPr>
        <w:ind w:left="567" w:hanging="567"/>
      </w:pPr>
      <w:r>
        <w:rPr>
          <w:lang w:val="es-ES"/>
        </w:rPr>
        <w:t>la expansión del alcance de la respuesta en casos de emergencia medioambiental marina para que incluya las operaciones de búsqueda y salvamento, y la inclusión de nuevos criterios de designación de los CMRE para la respuesta en casos de emergencia marina, para que se cambie el nombre de la actividad y se elimine la palabra "medioambiental",</w:t>
      </w:r>
    </w:p>
    <w:p w14:paraId="7AE32665" w14:textId="6C0E8955" w:rsidR="005331CB" w:rsidRPr="005331CB" w:rsidRDefault="00FD0EA6" w:rsidP="005331CB">
      <w:pPr>
        <w:pStyle w:val="WMOBodyText"/>
        <w:numPr>
          <w:ilvl w:val="0"/>
          <w:numId w:val="46"/>
        </w:numPr>
        <w:ind w:left="567" w:hanging="567"/>
      </w:pPr>
      <w:r>
        <w:rPr>
          <w:lang w:val="es-ES"/>
        </w:rPr>
        <w:t>las solicitudes de designación:</w:t>
      </w:r>
    </w:p>
    <w:p w14:paraId="2CB3F2C9" w14:textId="04B76829" w:rsidR="005331CB" w:rsidRPr="005331CB" w:rsidRDefault="00F45E8F" w:rsidP="008C6616">
      <w:pPr>
        <w:pStyle w:val="WMOBodyText"/>
        <w:numPr>
          <w:ilvl w:val="1"/>
          <w:numId w:val="46"/>
        </w:numPr>
        <w:ind w:left="1134" w:hanging="567"/>
      </w:pPr>
      <w:r>
        <w:rPr>
          <w:lang w:val="es-ES"/>
        </w:rPr>
        <w:t xml:space="preserve">del </w:t>
      </w:r>
      <w:r w:rsidR="00FD0EA6" w:rsidRPr="005331CB">
        <w:rPr>
          <w:lang w:val="es-ES"/>
        </w:rPr>
        <w:t>Canadá</w:t>
      </w:r>
      <w:r>
        <w:rPr>
          <w:lang w:val="es-ES"/>
        </w:rPr>
        <w:t>,</w:t>
      </w:r>
      <w:r w:rsidR="00FD0EA6" w:rsidRPr="005331CB">
        <w:rPr>
          <w:lang w:val="es-ES"/>
        </w:rPr>
        <w:t xml:space="preserve"> para el CMRE para la predicción numérica oceánica a nivel mundial,</w:t>
      </w:r>
    </w:p>
    <w:p w14:paraId="2A13D332" w14:textId="68FCA385" w:rsidR="005331CB" w:rsidRDefault="00F45E8F" w:rsidP="008C6616">
      <w:pPr>
        <w:pStyle w:val="WMOBodyText"/>
        <w:numPr>
          <w:ilvl w:val="1"/>
          <w:numId w:val="46"/>
        </w:numPr>
        <w:ind w:left="1134" w:hanging="567"/>
      </w:pPr>
      <w:r>
        <w:rPr>
          <w:lang w:val="es-ES"/>
        </w:rPr>
        <w:t>d</w:t>
      </w:r>
      <w:r w:rsidR="00FD0EA6" w:rsidRPr="005331CB">
        <w:rPr>
          <w:lang w:val="es-ES"/>
        </w:rPr>
        <w:t>el Reino Unido</w:t>
      </w:r>
      <w:r>
        <w:rPr>
          <w:lang w:val="es-ES"/>
        </w:rPr>
        <w:t>,</w:t>
      </w:r>
      <w:r w:rsidR="00FD0EA6" w:rsidRPr="005331CB">
        <w:rPr>
          <w:lang w:val="es-ES"/>
        </w:rPr>
        <w:t xml:space="preserve"> para el CMRE para la predicción numérica oceánica a nivel mundial y el CMRE para la predicción numérica de las olas oceánicas,</w:t>
      </w:r>
    </w:p>
    <w:p w14:paraId="0BAECC3A" w14:textId="27CA17DD" w:rsidR="005331CB" w:rsidRDefault="00F45E8F" w:rsidP="008C6616">
      <w:pPr>
        <w:pStyle w:val="WMOBodyText"/>
        <w:numPr>
          <w:ilvl w:val="1"/>
          <w:numId w:val="46"/>
        </w:numPr>
        <w:ind w:left="1134" w:hanging="567"/>
      </w:pPr>
      <w:r>
        <w:rPr>
          <w:lang w:val="es-ES"/>
        </w:rPr>
        <w:t xml:space="preserve">de </w:t>
      </w:r>
      <w:r w:rsidR="00FD0EA6" w:rsidRPr="005331CB">
        <w:rPr>
          <w:lang w:val="es-ES"/>
        </w:rPr>
        <w:t>Noruega</w:t>
      </w:r>
      <w:r>
        <w:rPr>
          <w:lang w:val="es-ES"/>
        </w:rPr>
        <w:t>,</w:t>
      </w:r>
      <w:r w:rsidR="00FD0EA6" w:rsidRPr="005331CB">
        <w:rPr>
          <w:lang w:val="es-ES"/>
        </w:rPr>
        <w:t xml:space="preserve"> para el CMRE para la respuesta en casos de emergencia marina,</w:t>
      </w:r>
    </w:p>
    <w:p w14:paraId="2C88715B" w14:textId="4845EA40" w:rsidR="00FD0EA6" w:rsidRDefault="00F45E8F" w:rsidP="008C6616">
      <w:pPr>
        <w:pStyle w:val="WMOBodyText"/>
        <w:numPr>
          <w:ilvl w:val="1"/>
          <w:numId w:val="46"/>
        </w:numPr>
        <w:ind w:left="1134" w:hanging="567"/>
      </w:pPr>
      <w:r>
        <w:rPr>
          <w:lang w:val="es-ES"/>
        </w:rPr>
        <w:t xml:space="preserve">de </w:t>
      </w:r>
      <w:r w:rsidR="00FD0EA6" w:rsidRPr="005331CB">
        <w:rPr>
          <w:lang w:val="es-ES"/>
        </w:rPr>
        <w:t>la India</w:t>
      </w:r>
      <w:r>
        <w:rPr>
          <w:lang w:val="es-ES"/>
        </w:rPr>
        <w:t>,</w:t>
      </w:r>
      <w:r w:rsidR="00FD0EA6" w:rsidRPr="005331CB">
        <w:rPr>
          <w:lang w:val="es-ES"/>
        </w:rPr>
        <w:t xml:space="preserve"> para el CMRE para la predicción numérica oceánica a nivel mundial, el CMRE para la predicción numérica de las olas oceánicas y el CMRE para la respuesta en casos de emergencia marina,</w:t>
      </w:r>
    </w:p>
    <w:p w14:paraId="0971803C" w14:textId="6470CDC7" w:rsidR="00FD0EA6" w:rsidRDefault="00FD0EA6" w:rsidP="00FD0EA6">
      <w:pPr>
        <w:pStyle w:val="WMOBodyText"/>
      </w:pPr>
      <w:r>
        <w:rPr>
          <w:b/>
          <w:bCs/>
          <w:lang w:val="es-ES"/>
        </w:rPr>
        <w:t xml:space="preserve">Habiendo examinado </w:t>
      </w:r>
      <w:r w:rsidR="00F36D43">
        <w:rPr>
          <w:b/>
          <w:bCs/>
          <w:lang w:val="es-ES"/>
        </w:rPr>
        <w:t xml:space="preserve">también </w:t>
      </w:r>
      <w:r>
        <w:rPr>
          <w:lang w:val="es-ES"/>
        </w:rPr>
        <w:t xml:space="preserve">la recomendación del Grupo </w:t>
      </w:r>
      <w:r w:rsidR="007951BE">
        <w:rPr>
          <w:lang w:val="es-ES"/>
        </w:rPr>
        <w:t>C</w:t>
      </w:r>
      <w:r>
        <w:rPr>
          <w:lang w:val="es-ES"/>
        </w:rPr>
        <w:t xml:space="preserve">onsultivo sobre </w:t>
      </w:r>
      <w:r w:rsidR="007951BE">
        <w:rPr>
          <w:lang w:val="es-ES"/>
        </w:rPr>
        <w:t>C</w:t>
      </w:r>
      <w:r>
        <w:rPr>
          <w:lang w:val="es-ES"/>
        </w:rPr>
        <w:t xml:space="preserve">iclones </w:t>
      </w:r>
      <w:r w:rsidR="007951BE">
        <w:rPr>
          <w:lang w:val="es-ES"/>
        </w:rPr>
        <w:t>T</w:t>
      </w:r>
      <w:r>
        <w:rPr>
          <w:lang w:val="es-ES"/>
        </w:rPr>
        <w:t xml:space="preserve">ropicales (AG-TC), adoptada por su órgano principal, el Comité Permanente de Reducción de Riesgos de Desastre y Servicios para el Público (SC-DRR), tal y como figura en el </w:t>
      </w:r>
      <w:hyperlink w:anchor="AnexoResolución" w:history="1">
        <w:r w:rsidRPr="00EE7D72">
          <w:rPr>
            <w:rStyle w:val="Hyperlink"/>
            <w:lang w:val="es-ES"/>
          </w:rPr>
          <w:t>anexo al proyecto de Resolución 5.1(1)/1 (SERCOM-2)</w:t>
        </w:r>
      </w:hyperlink>
      <w:r>
        <w:rPr>
          <w:lang w:val="es-ES"/>
        </w:rPr>
        <w:t>,</w:t>
      </w:r>
    </w:p>
    <w:p w14:paraId="62513EE8" w14:textId="0C842BC3" w:rsidR="00FD0EA6" w:rsidRPr="00FD0EA6" w:rsidRDefault="00FD0EA6" w:rsidP="00FD0EA6">
      <w:pPr>
        <w:spacing w:before="240"/>
        <w:jc w:val="left"/>
        <w:rPr>
          <w:rFonts w:eastAsia="Verdana" w:cs="Verdana"/>
          <w:color w:val="201F1E"/>
          <w:lang w:val="es-ES"/>
        </w:rPr>
      </w:pPr>
      <w:r>
        <w:rPr>
          <w:b/>
          <w:bCs/>
          <w:lang w:val="es-ES"/>
        </w:rPr>
        <w:t>Invita</w:t>
      </w:r>
      <w:r>
        <w:rPr>
          <w:lang w:val="es-ES"/>
        </w:rPr>
        <w:t xml:space="preserve"> a la INFCOM a tener en cuenta las solicitudes y la recomendación de la Comisión de Servicios mencionadas anteriormente, a preparar proyectos de enmiendas al </w:t>
      </w:r>
      <w:hyperlink r:id="rId29" w:anchor=".Y0WA_LRBxmA" w:history="1">
        <w:r w:rsidRPr="00AA6CB2">
          <w:rPr>
            <w:rStyle w:val="Hyperlink"/>
            <w:i/>
            <w:iCs/>
            <w:lang w:val="es-ES"/>
          </w:rPr>
          <w:t>Manual del Sistema Mundial de Proceso de Datos y de Predicción</w:t>
        </w:r>
      </w:hyperlink>
      <w:r>
        <w:rPr>
          <w:lang w:val="es-ES"/>
        </w:rPr>
        <w:t xml:space="preserve"> (OMM-Nº 485) y a presentar una recomendación al Consejo Ejecutivo;</w:t>
      </w:r>
      <w:bookmarkStart w:id="9" w:name="_Hlk115942964"/>
      <w:bookmarkEnd w:id="9"/>
    </w:p>
    <w:p w14:paraId="61E74490" w14:textId="4B1B6C6E" w:rsidR="00FD0EA6" w:rsidRPr="00FD0EA6" w:rsidRDefault="00FD0EA6" w:rsidP="00FD0EA6">
      <w:pPr>
        <w:spacing w:before="240"/>
        <w:jc w:val="left"/>
        <w:rPr>
          <w:rFonts w:eastAsia="Verdana" w:cs="Verdana"/>
          <w:color w:val="201F1E"/>
          <w:lang w:val="es-ES"/>
        </w:rPr>
      </w:pPr>
      <w:r>
        <w:rPr>
          <w:b/>
          <w:bCs/>
          <w:lang w:val="es-ES"/>
        </w:rPr>
        <w:t>Decide</w:t>
      </w:r>
      <w:r>
        <w:rPr>
          <w:lang w:val="es-ES"/>
        </w:rPr>
        <w:t xml:space="preserve"> que cualquier enmienda futura al </w:t>
      </w:r>
      <w:hyperlink r:id="rId30" w:anchor=".Y0WA_LRBxmA" w:history="1">
        <w:r w:rsidRPr="00AA6CB2">
          <w:rPr>
            <w:rStyle w:val="Hyperlink"/>
            <w:i/>
            <w:iCs/>
            <w:lang w:val="es-ES"/>
          </w:rPr>
          <w:t>Manual del Sistema Mundial de Proceso de Datos y de Predicción</w:t>
        </w:r>
      </w:hyperlink>
      <w:r>
        <w:rPr>
          <w:lang w:val="es-ES"/>
        </w:rPr>
        <w:t xml:space="preserve"> (OMM-Nº 485) será presentada por la Comisión de Infraestructura al Consejo Ejecutivo, y que la Comisión de Servicios trabajará estrechamente con el Comité Permanente de Proceso de Datos para la Modelización y Predicción Aplicadas del Sistema Tierra (SC-ESMP) para modificar el Manual en respuesta a las necesidades en materia de servicios</w:t>
      </w:r>
      <w:r w:rsidR="00F21339">
        <w:rPr>
          <w:lang w:val="es-ES"/>
        </w:rPr>
        <w:t>;</w:t>
      </w:r>
    </w:p>
    <w:p w14:paraId="003E32F1" w14:textId="77777777" w:rsidR="00FD0EA6" w:rsidRDefault="00FD0EA6" w:rsidP="00FD0EA6">
      <w:pPr>
        <w:pStyle w:val="WMOBodyText"/>
      </w:pPr>
      <w:r>
        <w:rPr>
          <w:b/>
          <w:bCs/>
          <w:lang w:val="es-ES"/>
        </w:rPr>
        <w:t>Invita también</w:t>
      </w:r>
      <w:r>
        <w:rPr>
          <w:lang w:val="es-ES"/>
        </w:rPr>
        <w:t xml:space="preserve"> a la Comisión de Infraestructura a evaluar la idoneidad de "CMRE" como denominación común para los centros regionales que se ocupan de las actividades del Sistema Mundial de Proceso de Datos y de Predicción en todos los ámbitos del sistema Tierra.</w:t>
      </w:r>
    </w:p>
    <w:p w14:paraId="576C9F1B" w14:textId="77777777" w:rsidR="001527A3" w:rsidRPr="001527A3" w:rsidRDefault="001527A3" w:rsidP="001527A3">
      <w:pPr>
        <w:spacing w:before="480"/>
        <w:jc w:val="center"/>
        <w:rPr>
          <w:lang w:val="es-ES"/>
        </w:rPr>
      </w:pPr>
      <w:r w:rsidRPr="001527A3">
        <w:rPr>
          <w:lang w:val="es-ES"/>
        </w:rPr>
        <w:t>______________</w:t>
      </w:r>
    </w:p>
    <w:p w14:paraId="7D20B708" w14:textId="77777777" w:rsidR="001527A3" w:rsidRPr="001527A3" w:rsidRDefault="0068587D" w:rsidP="001527A3">
      <w:pPr>
        <w:pStyle w:val="WMOBodyText"/>
        <w:spacing w:before="480"/>
        <w:rPr>
          <w:lang w:val="es-ES"/>
        </w:rPr>
      </w:pPr>
      <w:hyperlink w:anchor="AnexoResolución" w:history="1">
        <w:r w:rsidR="001527A3" w:rsidRPr="001527A3">
          <w:rPr>
            <w:rStyle w:val="Hyperlink"/>
            <w:lang w:val="es-ES"/>
          </w:rPr>
          <w:t>Anexo: 1</w:t>
        </w:r>
      </w:hyperlink>
    </w:p>
    <w:p w14:paraId="0DA61D98" w14:textId="77777777" w:rsidR="002204FD" w:rsidRPr="001527A3" w:rsidRDefault="002204FD" w:rsidP="002204FD">
      <w:pPr>
        <w:tabs>
          <w:tab w:val="clear" w:pos="1134"/>
        </w:tabs>
        <w:jc w:val="left"/>
        <w:rPr>
          <w:b/>
          <w:bCs/>
          <w:iCs/>
          <w:szCs w:val="22"/>
          <w:lang w:val="es-ES" w:eastAsia="zh-TW"/>
        </w:rPr>
      </w:pPr>
      <w:r w:rsidRPr="001527A3">
        <w:rPr>
          <w:lang w:val="es-ES"/>
        </w:rPr>
        <w:br w:type="page"/>
      </w:r>
    </w:p>
    <w:p w14:paraId="38CA02CC" w14:textId="2112B558" w:rsidR="00814CC6" w:rsidRPr="001501C2" w:rsidRDefault="001527A3" w:rsidP="001501C2">
      <w:pPr>
        <w:pStyle w:val="WMOBodyText"/>
        <w:jc w:val="center"/>
        <w:rPr>
          <w:b/>
          <w:bCs/>
          <w:sz w:val="22"/>
          <w:szCs w:val="22"/>
        </w:rPr>
      </w:pPr>
      <w:bookmarkStart w:id="10" w:name="_Annex_to_draft_3"/>
      <w:bookmarkStart w:id="11" w:name="AnexoResolución"/>
      <w:bookmarkEnd w:id="10"/>
      <w:bookmarkEnd w:id="11"/>
      <w:r w:rsidRPr="001501C2">
        <w:rPr>
          <w:b/>
          <w:bCs/>
          <w:sz w:val="22"/>
          <w:szCs w:val="22"/>
        </w:rPr>
        <w:lastRenderedPageBreak/>
        <w:t xml:space="preserve">Anexo al proyecto de Resolución </w:t>
      </w:r>
      <w:r w:rsidR="005331CB">
        <w:rPr>
          <w:b/>
          <w:bCs/>
          <w:sz w:val="22"/>
          <w:szCs w:val="22"/>
        </w:rPr>
        <w:t>5.1(1)</w:t>
      </w:r>
      <w:r w:rsidR="00814CC6" w:rsidRPr="001501C2">
        <w:rPr>
          <w:b/>
          <w:bCs/>
          <w:sz w:val="22"/>
          <w:szCs w:val="22"/>
        </w:rPr>
        <w:t xml:space="preserve">/1 </w:t>
      </w:r>
      <w:r w:rsidR="00A41E35" w:rsidRPr="001501C2">
        <w:rPr>
          <w:b/>
          <w:bCs/>
          <w:sz w:val="22"/>
          <w:szCs w:val="22"/>
        </w:rPr>
        <w:t>(</w:t>
      </w:r>
      <w:r w:rsidR="009F5A1D" w:rsidRPr="001501C2">
        <w:rPr>
          <w:b/>
          <w:bCs/>
          <w:sz w:val="22"/>
          <w:szCs w:val="22"/>
        </w:rPr>
        <w:t>SERCOM-2</w:t>
      </w:r>
      <w:r w:rsidR="00A41E35" w:rsidRPr="001501C2">
        <w:rPr>
          <w:b/>
          <w:bCs/>
          <w:sz w:val="22"/>
          <w:szCs w:val="22"/>
        </w:rPr>
        <w:t>)</w:t>
      </w:r>
    </w:p>
    <w:p w14:paraId="38DA16E3" w14:textId="6D19764E" w:rsidR="00814CC6" w:rsidRPr="001501C2" w:rsidRDefault="005331CB" w:rsidP="001501C2">
      <w:pPr>
        <w:pStyle w:val="WMOBodyText"/>
        <w:jc w:val="center"/>
        <w:rPr>
          <w:b/>
          <w:bCs/>
          <w:caps/>
          <w:sz w:val="22"/>
          <w:szCs w:val="22"/>
        </w:rPr>
      </w:pPr>
      <w:r w:rsidRPr="00376C43">
        <w:rPr>
          <w:b/>
          <w:bCs/>
        </w:rPr>
        <w:t xml:space="preserve">Recomendación del Grupo </w:t>
      </w:r>
      <w:r w:rsidR="00376C43">
        <w:rPr>
          <w:b/>
          <w:bCs/>
        </w:rPr>
        <w:t>C</w:t>
      </w:r>
      <w:r w:rsidRPr="00376C43">
        <w:rPr>
          <w:b/>
          <w:bCs/>
        </w:rPr>
        <w:t xml:space="preserve">onsultivo sobre </w:t>
      </w:r>
      <w:r w:rsidR="00376C43">
        <w:rPr>
          <w:b/>
          <w:bCs/>
        </w:rPr>
        <w:t>C</w:t>
      </w:r>
      <w:r w:rsidR="00376C43" w:rsidRPr="00376C43">
        <w:rPr>
          <w:b/>
          <w:bCs/>
        </w:rPr>
        <w:t xml:space="preserve">iclones </w:t>
      </w:r>
      <w:r w:rsidR="00376C43">
        <w:rPr>
          <w:b/>
          <w:bCs/>
        </w:rPr>
        <w:t>T</w:t>
      </w:r>
      <w:r w:rsidR="00376C43" w:rsidRPr="00376C43">
        <w:rPr>
          <w:b/>
          <w:bCs/>
        </w:rPr>
        <w:t>ropicales</w:t>
      </w:r>
    </w:p>
    <w:p w14:paraId="751DBC73" w14:textId="0FB99FD8" w:rsidR="005331CB" w:rsidRPr="005331CB" w:rsidRDefault="005331CB" w:rsidP="005331CB">
      <w:pPr>
        <w:spacing w:before="240"/>
        <w:jc w:val="left"/>
        <w:rPr>
          <w:lang w:val="es-ES"/>
        </w:rPr>
      </w:pPr>
      <w:r>
        <w:rPr>
          <w:b/>
          <w:bCs/>
          <w:lang w:val="es-ES"/>
        </w:rPr>
        <w:t xml:space="preserve">El Grupo </w:t>
      </w:r>
      <w:r w:rsidR="008C6616">
        <w:rPr>
          <w:b/>
          <w:bCs/>
          <w:lang w:val="es-ES"/>
        </w:rPr>
        <w:t>C</w:t>
      </w:r>
      <w:r>
        <w:rPr>
          <w:b/>
          <w:bCs/>
          <w:lang w:val="es-ES"/>
        </w:rPr>
        <w:t xml:space="preserve">onsultivo sobre </w:t>
      </w:r>
      <w:r w:rsidR="008C6616">
        <w:rPr>
          <w:b/>
          <w:bCs/>
          <w:lang w:val="es-ES"/>
        </w:rPr>
        <w:t>C</w:t>
      </w:r>
      <w:r>
        <w:rPr>
          <w:b/>
          <w:bCs/>
          <w:lang w:val="es-ES"/>
        </w:rPr>
        <w:t xml:space="preserve">iclones </w:t>
      </w:r>
      <w:r w:rsidR="008C6616">
        <w:rPr>
          <w:b/>
          <w:bCs/>
          <w:lang w:val="es-ES"/>
        </w:rPr>
        <w:t>T</w:t>
      </w:r>
      <w:r>
        <w:rPr>
          <w:b/>
          <w:bCs/>
          <w:lang w:val="es-ES"/>
        </w:rPr>
        <w:t>ropicales (AG-TC) recomendó</w:t>
      </w:r>
      <w:r>
        <w:rPr>
          <w:lang w:val="es-ES"/>
        </w:rPr>
        <w:t xml:space="preserve">, en el </w:t>
      </w:r>
      <w:hyperlink r:id="rId31" w:history="1">
        <w:r w:rsidRPr="00154D61">
          <w:rPr>
            <w:rStyle w:val="Hyperlink"/>
            <w:lang w:val="es-ES"/>
          </w:rPr>
          <w:t>informe final</w:t>
        </w:r>
      </w:hyperlink>
      <w:r>
        <w:rPr>
          <w:lang w:val="es-ES"/>
        </w:rPr>
        <w:t xml:space="preserve"> de su segunda reunión, celebrada del 7 al 9 de junio de 2022, que, visto y considerando que la utilización efectiva de los datos de trayectoria de la predicción numérica del tiempo (PNT) es fundamental no solo para los Centros Meteorológicos Regionales Especializados y los Centro de Avisos de Ciclones Tropicales, sino también para los Centros Meteorológicos Nacionales, es necesario velar por que los datos de trayectoria provistos por los centros de predicción numérica del tiempo se encuentren disponibles en aún más elementos y formatos fáciles de utilizar.</w:t>
      </w:r>
    </w:p>
    <w:p w14:paraId="10D380CA" w14:textId="2BE4D0B6" w:rsidR="005331CB" w:rsidRPr="005331CB" w:rsidRDefault="005331CB" w:rsidP="005331CB">
      <w:pPr>
        <w:spacing w:before="240"/>
        <w:jc w:val="left"/>
        <w:rPr>
          <w:lang w:val="es-ES"/>
        </w:rPr>
      </w:pPr>
      <w:r>
        <w:rPr>
          <w:lang w:val="es-ES"/>
        </w:rPr>
        <w:t xml:space="preserve">Por consiguiente, el AG-TC recomienda que se enmienden los apéndices 2.2.1, 2.2.3, 2.2.5 y 2.2.7 del </w:t>
      </w:r>
      <w:hyperlink r:id="rId32" w:anchor=".Y0WA_LRBxmA" w:history="1">
        <w:r w:rsidRPr="00154D61">
          <w:rPr>
            <w:rStyle w:val="Hyperlink"/>
            <w:i/>
            <w:iCs/>
            <w:lang w:val="es-ES"/>
          </w:rPr>
          <w:t>Manual del Sistema Mundial de Proceso de Datos y de Predicción</w:t>
        </w:r>
      </w:hyperlink>
      <w:r>
        <w:rPr>
          <w:lang w:val="es-ES"/>
        </w:rPr>
        <w:t xml:space="preserve"> (OMM-Nº 485) de modo tal que clasifiquen los productos de las trayectorias de los ciclones tropicales de los modelos de PNT determinísticos y por conjuntos, ambos a escala mundial y de área limitada, como datos obligatorios. </w:t>
      </w:r>
    </w:p>
    <w:p w14:paraId="1D008659" w14:textId="220E6ADD" w:rsidR="005331CB" w:rsidRPr="005331CB" w:rsidRDefault="005331CB" w:rsidP="005331CB">
      <w:pPr>
        <w:spacing w:before="240"/>
        <w:jc w:val="left"/>
        <w:rPr>
          <w:lang w:val="es-ES"/>
        </w:rPr>
      </w:pPr>
      <w:r>
        <w:rPr>
          <w:lang w:val="es-ES"/>
        </w:rPr>
        <w:t xml:space="preserve">Estos productos deberían incluir los siguientes parámetros: localizaciones de latitud/longitud, velocidad máxima de los vientos sostenidos, presión </w:t>
      </w:r>
      <w:r w:rsidR="0086090D">
        <w:rPr>
          <w:lang w:val="es-ES"/>
        </w:rPr>
        <w:t>mínima</w:t>
      </w:r>
      <w:r>
        <w:rPr>
          <w:lang w:val="es-ES"/>
        </w:rPr>
        <w:t xml:space="preserve"> al nivel del mar, radios de los cuadrantes de los vientos de 34, 50 y 64 nudos, y radio de vientos máximos.</w:t>
      </w:r>
    </w:p>
    <w:p w14:paraId="6265BEA3" w14:textId="1ECA6C9B" w:rsidR="00864DBF" w:rsidRPr="005331CB" w:rsidRDefault="001527A3" w:rsidP="005331CB">
      <w:pPr>
        <w:spacing w:before="480"/>
        <w:jc w:val="center"/>
        <w:rPr>
          <w:lang w:val="es-ES"/>
        </w:rPr>
      </w:pPr>
      <w:r w:rsidRPr="00B4340B">
        <w:rPr>
          <w:lang w:val="es-ES"/>
        </w:rPr>
        <w:t>______________</w:t>
      </w:r>
    </w:p>
    <w:sectPr w:rsidR="00864DBF" w:rsidRPr="005331CB" w:rsidSect="0020095E">
      <w:headerReference w:type="defaul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9E7F2" w14:textId="77777777" w:rsidR="00403354" w:rsidRDefault="00403354">
      <w:r>
        <w:separator/>
      </w:r>
    </w:p>
    <w:p w14:paraId="69D433E9" w14:textId="77777777" w:rsidR="00403354" w:rsidRDefault="00403354"/>
    <w:p w14:paraId="0CD85B5F" w14:textId="77777777" w:rsidR="00403354" w:rsidRDefault="00403354"/>
  </w:endnote>
  <w:endnote w:type="continuationSeparator" w:id="0">
    <w:p w14:paraId="2B360E0E" w14:textId="77777777" w:rsidR="00403354" w:rsidRDefault="00403354">
      <w:r>
        <w:continuationSeparator/>
      </w:r>
    </w:p>
    <w:p w14:paraId="53C60002" w14:textId="77777777" w:rsidR="00403354" w:rsidRDefault="00403354"/>
    <w:p w14:paraId="6DFB2D28" w14:textId="77777777" w:rsidR="00403354" w:rsidRDefault="00403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Tahom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46C8" w14:textId="77777777" w:rsidR="00403354" w:rsidRDefault="00403354">
      <w:r>
        <w:separator/>
      </w:r>
    </w:p>
  </w:footnote>
  <w:footnote w:type="continuationSeparator" w:id="0">
    <w:p w14:paraId="61BDB23C" w14:textId="77777777" w:rsidR="00403354" w:rsidRDefault="00403354">
      <w:r>
        <w:continuationSeparator/>
      </w:r>
    </w:p>
    <w:p w14:paraId="456B8622" w14:textId="77777777" w:rsidR="00403354" w:rsidRDefault="00403354"/>
    <w:p w14:paraId="49059420" w14:textId="77777777" w:rsidR="00403354" w:rsidRDefault="00403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7B67" w14:textId="58D006F3" w:rsidR="007C212A" w:rsidRDefault="009F5A1D" w:rsidP="00290495">
    <w:pPr>
      <w:pStyle w:val="Header"/>
    </w:pPr>
    <w:r>
      <w:rPr>
        <w:lang w:val="es-ES"/>
      </w:rPr>
      <w:t>SERCOM-2</w:t>
    </w:r>
    <w:r w:rsidR="00A41E35" w:rsidRPr="0092449A">
      <w:rPr>
        <w:lang w:val="es-ES"/>
      </w:rPr>
      <w:t>/Doc.</w:t>
    </w:r>
    <w:r w:rsidR="00BD5C33">
      <w:rPr>
        <w:lang w:val="es-ES"/>
      </w:rPr>
      <w:t xml:space="preserve"> </w:t>
    </w:r>
    <w:r w:rsidR="00E55774">
      <w:t>5.1(1)</w:t>
    </w:r>
    <w:r w:rsidR="0020095E" w:rsidRPr="0092449A">
      <w:rPr>
        <w:lang w:val="es-ES"/>
      </w:rPr>
      <w:t xml:space="preserve">, </w:t>
    </w:r>
    <w:del w:id="12" w:author="Eduardo RICO VILAR" w:date="2022-10-14T15:40:00Z">
      <w:r w:rsidR="001527A3" w:rsidRPr="0092449A" w:rsidDel="00745128">
        <w:rPr>
          <w:lang w:val="es-ES"/>
        </w:rPr>
        <w:delText>VERSIÓN 1</w:delText>
      </w:r>
    </w:del>
    <w:ins w:id="13" w:author="Eduardo RICO VILAR" w:date="2022-10-14T15:40:00Z">
      <w:r w:rsidR="00745128">
        <w:rPr>
          <w:lang w:val="es-ES"/>
        </w:rPr>
        <w:t>VERSIÓN 2</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BF513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AC61E31"/>
    <w:multiLevelType w:val="multilevel"/>
    <w:tmpl w:val="040C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2327D59"/>
    <w:multiLevelType w:val="hybridMultilevel"/>
    <w:tmpl w:val="D78CA0F4"/>
    <w:lvl w:ilvl="0" w:tplc="B3AC4F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9"/>
  </w:num>
  <w:num w:numId="4">
    <w:abstractNumId w:val="39"/>
  </w:num>
  <w:num w:numId="5">
    <w:abstractNumId w:val="17"/>
  </w:num>
  <w:num w:numId="6">
    <w:abstractNumId w:val="23"/>
  </w:num>
  <w:num w:numId="7">
    <w:abstractNumId w:val="18"/>
  </w:num>
  <w:num w:numId="8">
    <w:abstractNumId w:val="32"/>
  </w:num>
  <w:num w:numId="9">
    <w:abstractNumId w:val="22"/>
  </w:num>
  <w:num w:numId="10">
    <w:abstractNumId w:val="21"/>
  </w:num>
  <w:num w:numId="11">
    <w:abstractNumId w:val="38"/>
  </w:num>
  <w:num w:numId="12">
    <w:abstractNumId w:val="11"/>
  </w:num>
  <w:num w:numId="13">
    <w:abstractNumId w:val="27"/>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4"/>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2"/>
  </w:num>
  <w:num w:numId="39">
    <w:abstractNumId w:val="13"/>
  </w:num>
  <w:num w:numId="40">
    <w:abstractNumId w:val="15"/>
  </w:num>
  <w:num w:numId="41">
    <w:abstractNumId w:val="10"/>
  </w:num>
  <w:num w:numId="42">
    <w:abstractNumId w:val="44"/>
  </w:num>
  <w:num w:numId="43">
    <w:abstractNumId w:val="16"/>
  </w:num>
  <w:num w:numId="44">
    <w:abstractNumId w:val="30"/>
  </w:num>
  <w:num w:numId="45">
    <w:abstractNumId w:val="41"/>
  </w:num>
  <w:num w:numId="46">
    <w:abstractNumId w:val="19"/>
  </w:num>
  <w:num w:numId="47">
    <w:abstractNumId w:val="24"/>
  </w:num>
  <w:num w:numId="4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63"/>
    <w:rsid w:val="00013331"/>
    <w:rsid w:val="0001558A"/>
    <w:rsid w:val="000206A8"/>
    <w:rsid w:val="0003137A"/>
    <w:rsid w:val="00032E6C"/>
    <w:rsid w:val="00041171"/>
    <w:rsid w:val="00041727"/>
    <w:rsid w:val="0004226F"/>
    <w:rsid w:val="0004791A"/>
    <w:rsid w:val="00050F8E"/>
    <w:rsid w:val="000573AD"/>
    <w:rsid w:val="00064F6B"/>
    <w:rsid w:val="00072F17"/>
    <w:rsid w:val="000806D8"/>
    <w:rsid w:val="00080BB6"/>
    <w:rsid w:val="00082C80"/>
    <w:rsid w:val="00083847"/>
    <w:rsid w:val="00083C36"/>
    <w:rsid w:val="00095E48"/>
    <w:rsid w:val="000A3630"/>
    <w:rsid w:val="000A69BF"/>
    <w:rsid w:val="000B4566"/>
    <w:rsid w:val="000C225A"/>
    <w:rsid w:val="000C6781"/>
    <w:rsid w:val="000E4AB7"/>
    <w:rsid w:val="000F5E49"/>
    <w:rsid w:val="000F7A87"/>
    <w:rsid w:val="00105D2E"/>
    <w:rsid w:val="00111BFD"/>
    <w:rsid w:val="0011498B"/>
    <w:rsid w:val="00120147"/>
    <w:rsid w:val="00123140"/>
    <w:rsid w:val="00123D94"/>
    <w:rsid w:val="001501C2"/>
    <w:rsid w:val="001527A3"/>
    <w:rsid w:val="00154D61"/>
    <w:rsid w:val="00156F9B"/>
    <w:rsid w:val="00163BA3"/>
    <w:rsid w:val="00165431"/>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23BD3"/>
    <w:rsid w:val="002308B5"/>
    <w:rsid w:val="00234A34"/>
    <w:rsid w:val="00237D44"/>
    <w:rsid w:val="0025255D"/>
    <w:rsid w:val="00255EE3"/>
    <w:rsid w:val="00266262"/>
    <w:rsid w:val="00266B3B"/>
    <w:rsid w:val="00270480"/>
    <w:rsid w:val="002779AF"/>
    <w:rsid w:val="00281209"/>
    <w:rsid w:val="002823D8"/>
    <w:rsid w:val="0028531A"/>
    <w:rsid w:val="00285446"/>
    <w:rsid w:val="00290495"/>
    <w:rsid w:val="00295593"/>
    <w:rsid w:val="00297B97"/>
    <w:rsid w:val="002A354F"/>
    <w:rsid w:val="002A386C"/>
    <w:rsid w:val="002B540D"/>
    <w:rsid w:val="002B6182"/>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394F"/>
    <w:rsid w:val="0032424A"/>
    <w:rsid w:val="003245D3"/>
    <w:rsid w:val="00330AA3"/>
    <w:rsid w:val="00332049"/>
    <w:rsid w:val="00334987"/>
    <w:rsid w:val="00342661"/>
    <w:rsid w:val="00342E34"/>
    <w:rsid w:val="003468EB"/>
    <w:rsid w:val="00351CEF"/>
    <w:rsid w:val="00355889"/>
    <w:rsid w:val="00371CF1"/>
    <w:rsid w:val="003750C1"/>
    <w:rsid w:val="00376C43"/>
    <w:rsid w:val="00380AF7"/>
    <w:rsid w:val="00394A05"/>
    <w:rsid w:val="00397770"/>
    <w:rsid w:val="00397880"/>
    <w:rsid w:val="003A146A"/>
    <w:rsid w:val="003A6E1C"/>
    <w:rsid w:val="003A7016"/>
    <w:rsid w:val="003B1BE5"/>
    <w:rsid w:val="003C17A5"/>
    <w:rsid w:val="003D1552"/>
    <w:rsid w:val="003D5A17"/>
    <w:rsid w:val="003E4046"/>
    <w:rsid w:val="003F003A"/>
    <w:rsid w:val="003F125B"/>
    <w:rsid w:val="003F4786"/>
    <w:rsid w:val="003F7B3F"/>
    <w:rsid w:val="00403354"/>
    <w:rsid w:val="0041078D"/>
    <w:rsid w:val="00410F8F"/>
    <w:rsid w:val="00416F97"/>
    <w:rsid w:val="0043039B"/>
    <w:rsid w:val="004423FE"/>
    <w:rsid w:val="00445C35"/>
    <w:rsid w:val="00453A99"/>
    <w:rsid w:val="00454AB0"/>
    <w:rsid w:val="0045663A"/>
    <w:rsid w:val="0046344E"/>
    <w:rsid w:val="004667E7"/>
    <w:rsid w:val="00475797"/>
    <w:rsid w:val="00483D02"/>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11999"/>
    <w:rsid w:val="00514EAC"/>
    <w:rsid w:val="00521EA5"/>
    <w:rsid w:val="00524973"/>
    <w:rsid w:val="00525B80"/>
    <w:rsid w:val="00527225"/>
    <w:rsid w:val="0053098F"/>
    <w:rsid w:val="005331CB"/>
    <w:rsid w:val="00534F2D"/>
    <w:rsid w:val="00536B2E"/>
    <w:rsid w:val="00546D8E"/>
    <w:rsid w:val="00553738"/>
    <w:rsid w:val="00571AE1"/>
    <w:rsid w:val="00583EBC"/>
    <w:rsid w:val="00584FA8"/>
    <w:rsid w:val="00592267"/>
    <w:rsid w:val="00592EBB"/>
    <w:rsid w:val="0059421F"/>
    <w:rsid w:val="00596CF0"/>
    <w:rsid w:val="005A24CE"/>
    <w:rsid w:val="005B0AE2"/>
    <w:rsid w:val="005B1F2C"/>
    <w:rsid w:val="005B5F3C"/>
    <w:rsid w:val="005B7867"/>
    <w:rsid w:val="005D03D9"/>
    <w:rsid w:val="005D1644"/>
    <w:rsid w:val="005D1EE8"/>
    <w:rsid w:val="005D56AE"/>
    <w:rsid w:val="005D666D"/>
    <w:rsid w:val="005E3A59"/>
    <w:rsid w:val="00604802"/>
    <w:rsid w:val="00615AB0"/>
    <w:rsid w:val="00616BF0"/>
    <w:rsid w:val="0061778C"/>
    <w:rsid w:val="00630900"/>
    <w:rsid w:val="00636B90"/>
    <w:rsid w:val="0064738B"/>
    <w:rsid w:val="006508EA"/>
    <w:rsid w:val="00667E86"/>
    <w:rsid w:val="0068392D"/>
    <w:rsid w:val="0068587D"/>
    <w:rsid w:val="00697DB5"/>
    <w:rsid w:val="006A1B33"/>
    <w:rsid w:val="006A492A"/>
    <w:rsid w:val="006B124A"/>
    <w:rsid w:val="006B5518"/>
    <w:rsid w:val="006B5C72"/>
    <w:rsid w:val="006C5B48"/>
    <w:rsid w:val="006D0310"/>
    <w:rsid w:val="006D2009"/>
    <w:rsid w:val="006D5576"/>
    <w:rsid w:val="006E2AB1"/>
    <w:rsid w:val="006E766D"/>
    <w:rsid w:val="006F4B29"/>
    <w:rsid w:val="006F67F8"/>
    <w:rsid w:val="006F6CE9"/>
    <w:rsid w:val="0070517C"/>
    <w:rsid w:val="00705C9F"/>
    <w:rsid w:val="00716951"/>
    <w:rsid w:val="00716AD3"/>
    <w:rsid w:val="00720F6B"/>
    <w:rsid w:val="00735D9E"/>
    <w:rsid w:val="00745128"/>
    <w:rsid w:val="00745A09"/>
    <w:rsid w:val="00751EAF"/>
    <w:rsid w:val="00753941"/>
    <w:rsid w:val="00754CF7"/>
    <w:rsid w:val="00757B0D"/>
    <w:rsid w:val="00761320"/>
    <w:rsid w:val="007651B1"/>
    <w:rsid w:val="00771A68"/>
    <w:rsid w:val="007744D2"/>
    <w:rsid w:val="007747A0"/>
    <w:rsid w:val="00786136"/>
    <w:rsid w:val="007870ED"/>
    <w:rsid w:val="007873C2"/>
    <w:rsid w:val="007951BE"/>
    <w:rsid w:val="00796A61"/>
    <w:rsid w:val="007C212A"/>
    <w:rsid w:val="007D650E"/>
    <w:rsid w:val="007E7D21"/>
    <w:rsid w:val="007F44EB"/>
    <w:rsid w:val="007F482F"/>
    <w:rsid w:val="007F7C94"/>
    <w:rsid w:val="0080398D"/>
    <w:rsid w:val="00806385"/>
    <w:rsid w:val="00807CC5"/>
    <w:rsid w:val="00811F29"/>
    <w:rsid w:val="00814CC6"/>
    <w:rsid w:val="008178D3"/>
    <w:rsid w:val="00824F3C"/>
    <w:rsid w:val="00831751"/>
    <w:rsid w:val="00833369"/>
    <w:rsid w:val="00835B42"/>
    <w:rsid w:val="00842A4E"/>
    <w:rsid w:val="008451AA"/>
    <w:rsid w:val="00847D99"/>
    <w:rsid w:val="0085038E"/>
    <w:rsid w:val="0085069B"/>
    <w:rsid w:val="0086090D"/>
    <w:rsid w:val="0086271D"/>
    <w:rsid w:val="0086420B"/>
    <w:rsid w:val="00864DBF"/>
    <w:rsid w:val="00865AE2"/>
    <w:rsid w:val="008664C4"/>
    <w:rsid w:val="0089601F"/>
    <w:rsid w:val="008A1B03"/>
    <w:rsid w:val="008A7313"/>
    <w:rsid w:val="008A7D91"/>
    <w:rsid w:val="008B7FC7"/>
    <w:rsid w:val="008C4337"/>
    <w:rsid w:val="008C4F06"/>
    <w:rsid w:val="008C6616"/>
    <w:rsid w:val="008E0A57"/>
    <w:rsid w:val="008E1E4A"/>
    <w:rsid w:val="008E6BF3"/>
    <w:rsid w:val="008F0615"/>
    <w:rsid w:val="008F103E"/>
    <w:rsid w:val="008F1FDB"/>
    <w:rsid w:val="008F36FB"/>
    <w:rsid w:val="0090427F"/>
    <w:rsid w:val="0091251E"/>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C2EA4"/>
    <w:rsid w:val="009C4C04"/>
    <w:rsid w:val="009C582E"/>
    <w:rsid w:val="009D6F26"/>
    <w:rsid w:val="009F5A1D"/>
    <w:rsid w:val="009F7566"/>
    <w:rsid w:val="009F777B"/>
    <w:rsid w:val="00A02045"/>
    <w:rsid w:val="00A06BFE"/>
    <w:rsid w:val="00A10F5D"/>
    <w:rsid w:val="00A1243C"/>
    <w:rsid w:val="00A135AE"/>
    <w:rsid w:val="00A14AF1"/>
    <w:rsid w:val="00A16891"/>
    <w:rsid w:val="00A268CE"/>
    <w:rsid w:val="00A332E8"/>
    <w:rsid w:val="00A35AF5"/>
    <w:rsid w:val="00A35DDF"/>
    <w:rsid w:val="00A36CBA"/>
    <w:rsid w:val="00A41E35"/>
    <w:rsid w:val="00A421F0"/>
    <w:rsid w:val="00A43BFD"/>
    <w:rsid w:val="00A45741"/>
    <w:rsid w:val="00A50291"/>
    <w:rsid w:val="00A530E4"/>
    <w:rsid w:val="00A604CD"/>
    <w:rsid w:val="00A60FE6"/>
    <w:rsid w:val="00A622F5"/>
    <w:rsid w:val="00A63B37"/>
    <w:rsid w:val="00A654BE"/>
    <w:rsid w:val="00A66DD6"/>
    <w:rsid w:val="00A74219"/>
    <w:rsid w:val="00A771FD"/>
    <w:rsid w:val="00A874EF"/>
    <w:rsid w:val="00A91536"/>
    <w:rsid w:val="00A95415"/>
    <w:rsid w:val="00AA3C89"/>
    <w:rsid w:val="00AA6CB2"/>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32843"/>
    <w:rsid w:val="00B4340B"/>
    <w:rsid w:val="00B447C0"/>
    <w:rsid w:val="00B5229B"/>
    <w:rsid w:val="00B535DC"/>
    <w:rsid w:val="00B548A2"/>
    <w:rsid w:val="00B56934"/>
    <w:rsid w:val="00B62F03"/>
    <w:rsid w:val="00B72444"/>
    <w:rsid w:val="00B73C63"/>
    <w:rsid w:val="00B777EE"/>
    <w:rsid w:val="00B93B62"/>
    <w:rsid w:val="00B953D1"/>
    <w:rsid w:val="00BA30D0"/>
    <w:rsid w:val="00BA7E19"/>
    <w:rsid w:val="00BB0D32"/>
    <w:rsid w:val="00BC11B5"/>
    <w:rsid w:val="00BC2C42"/>
    <w:rsid w:val="00BC76B5"/>
    <w:rsid w:val="00BD5420"/>
    <w:rsid w:val="00BD5C33"/>
    <w:rsid w:val="00BD7A2E"/>
    <w:rsid w:val="00BE328D"/>
    <w:rsid w:val="00BE5865"/>
    <w:rsid w:val="00C04BD2"/>
    <w:rsid w:val="00C13EEC"/>
    <w:rsid w:val="00C14689"/>
    <w:rsid w:val="00C156A4"/>
    <w:rsid w:val="00C20FAA"/>
    <w:rsid w:val="00C2459D"/>
    <w:rsid w:val="00C316F1"/>
    <w:rsid w:val="00C42C95"/>
    <w:rsid w:val="00C4470F"/>
    <w:rsid w:val="00C55E5B"/>
    <w:rsid w:val="00C57D64"/>
    <w:rsid w:val="00C62739"/>
    <w:rsid w:val="00C720A4"/>
    <w:rsid w:val="00C7611C"/>
    <w:rsid w:val="00C8327D"/>
    <w:rsid w:val="00C94097"/>
    <w:rsid w:val="00C96D5B"/>
    <w:rsid w:val="00CA0DF8"/>
    <w:rsid w:val="00CA4269"/>
    <w:rsid w:val="00CA7330"/>
    <w:rsid w:val="00CB1C84"/>
    <w:rsid w:val="00CB64F0"/>
    <w:rsid w:val="00CB6BA8"/>
    <w:rsid w:val="00CC2909"/>
    <w:rsid w:val="00CC506C"/>
    <w:rsid w:val="00CC73B8"/>
    <w:rsid w:val="00CD0549"/>
    <w:rsid w:val="00CF40BF"/>
    <w:rsid w:val="00CF47B3"/>
    <w:rsid w:val="00D05E6F"/>
    <w:rsid w:val="00D24F2A"/>
    <w:rsid w:val="00D27929"/>
    <w:rsid w:val="00D33442"/>
    <w:rsid w:val="00D44BAD"/>
    <w:rsid w:val="00D45B55"/>
    <w:rsid w:val="00D60780"/>
    <w:rsid w:val="00D7097B"/>
    <w:rsid w:val="00D74503"/>
    <w:rsid w:val="00D912E2"/>
    <w:rsid w:val="00D91DFA"/>
    <w:rsid w:val="00D97A0E"/>
    <w:rsid w:val="00DA159A"/>
    <w:rsid w:val="00DB1AB2"/>
    <w:rsid w:val="00DC0619"/>
    <w:rsid w:val="00DC4FDF"/>
    <w:rsid w:val="00DC66F0"/>
    <w:rsid w:val="00DD3A65"/>
    <w:rsid w:val="00DD4A99"/>
    <w:rsid w:val="00DD62C6"/>
    <w:rsid w:val="00DE7137"/>
    <w:rsid w:val="00E00498"/>
    <w:rsid w:val="00E14ADB"/>
    <w:rsid w:val="00E15836"/>
    <w:rsid w:val="00E16696"/>
    <w:rsid w:val="00E2617A"/>
    <w:rsid w:val="00E31CD4"/>
    <w:rsid w:val="00E45656"/>
    <w:rsid w:val="00E511FD"/>
    <w:rsid w:val="00E538E6"/>
    <w:rsid w:val="00E55774"/>
    <w:rsid w:val="00E7151C"/>
    <w:rsid w:val="00E802A2"/>
    <w:rsid w:val="00E85C0B"/>
    <w:rsid w:val="00EB0308"/>
    <w:rsid w:val="00EB13D7"/>
    <w:rsid w:val="00EB1E83"/>
    <w:rsid w:val="00EC0376"/>
    <w:rsid w:val="00EC0421"/>
    <w:rsid w:val="00ED22CB"/>
    <w:rsid w:val="00ED39E7"/>
    <w:rsid w:val="00ED67AF"/>
    <w:rsid w:val="00EE128C"/>
    <w:rsid w:val="00EE4C48"/>
    <w:rsid w:val="00EE7D72"/>
    <w:rsid w:val="00EF66D9"/>
    <w:rsid w:val="00EF68E3"/>
    <w:rsid w:val="00EF6BA5"/>
    <w:rsid w:val="00EF780D"/>
    <w:rsid w:val="00EF7A98"/>
    <w:rsid w:val="00F0267E"/>
    <w:rsid w:val="00F11B47"/>
    <w:rsid w:val="00F20EC0"/>
    <w:rsid w:val="00F21339"/>
    <w:rsid w:val="00F21ABD"/>
    <w:rsid w:val="00F249AA"/>
    <w:rsid w:val="00F25D8D"/>
    <w:rsid w:val="00F36D43"/>
    <w:rsid w:val="00F3781F"/>
    <w:rsid w:val="00F44CCB"/>
    <w:rsid w:val="00F45C31"/>
    <w:rsid w:val="00F45E8F"/>
    <w:rsid w:val="00F474C9"/>
    <w:rsid w:val="00F5126B"/>
    <w:rsid w:val="00F54EA3"/>
    <w:rsid w:val="00F61675"/>
    <w:rsid w:val="00F62998"/>
    <w:rsid w:val="00F6686B"/>
    <w:rsid w:val="00F67F74"/>
    <w:rsid w:val="00F712B3"/>
    <w:rsid w:val="00F73DE3"/>
    <w:rsid w:val="00F744BF"/>
    <w:rsid w:val="00F77219"/>
    <w:rsid w:val="00F77295"/>
    <w:rsid w:val="00F84DD2"/>
    <w:rsid w:val="00FA1EF4"/>
    <w:rsid w:val="00FA7CF3"/>
    <w:rsid w:val="00FB0872"/>
    <w:rsid w:val="00FB54CC"/>
    <w:rsid w:val="00FB6E16"/>
    <w:rsid w:val="00FC0CF4"/>
    <w:rsid w:val="00FD0EA6"/>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AF6C0"/>
  <w15:docId w15:val="{A41C5CD3-F66B-BE4F-8A77-7D23EBA6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FD0EA6"/>
    <w:pPr>
      <w:ind w:left="720"/>
      <w:contextualSpacing/>
    </w:pPr>
  </w:style>
  <w:style w:type="character" w:customStyle="1" w:styleId="eop">
    <w:name w:val="eop"/>
    <w:basedOn w:val="DefaultParagraphFont"/>
    <w:rsid w:val="00FD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0782" TargetMode="External"/><Relationship Id="rId18" Type="http://schemas.openxmlformats.org/officeDocument/2006/relationships/hyperlink" Target="https://library.wmo.int/doc_num.php?explnum_id=11140" TargetMode="External"/><Relationship Id="rId26" Type="http://schemas.openxmlformats.org/officeDocument/2006/relationships/hyperlink" Target="https://library.wmo.int/doc_num.php?explnum_id=11140" TargetMode="External"/><Relationship Id="rId3" Type="http://schemas.openxmlformats.org/officeDocument/2006/relationships/customXml" Target="../customXml/item3.xml"/><Relationship Id="rId21" Type="http://schemas.openxmlformats.org/officeDocument/2006/relationships/hyperlink" Target="https://library.wmo.int/doc_num.php?explnum_id=1078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ndex.php?lvl=notice_display&amp;id=12795" TargetMode="External"/><Relationship Id="rId17" Type="http://schemas.openxmlformats.org/officeDocument/2006/relationships/hyperlink" Target="https://library.wmo.int/doc_num.php?explnum_id=11001" TargetMode="External"/><Relationship Id="rId25" Type="http://schemas.openxmlformats.org/officeDocument/2006/relationships/hyperlink" Target="https://library.wmo.int/doc_num.php?explnum_id=3789"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0973" TargetMode="External"/><Relationship Id="rId20" Type="http://schemas.openxmlformats.org/officeDocument/2006/relationships/hyperlink" Target="https://library.wmo.int/doc_num.php?explnum_id=11140" TargetMode="External"/><Relationship Id="rId29" Type="http://schemas.openxmlformats.org/officeDocument/2006/relationships/hyperlink" Target="https://library.wmo.int/index.php?lvl=notice_display&amp;id=127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40" TargetMode="External"/><Relationship Id="rId32" Type="http://schemas.openxmlformats.org/officeDocument/2006/relationships/hyperlink" Target="https://library.wmo.int/index.php?lvl=notice_display&amp;id=12795" TargetMode="External"/><Relationship Id="rId5" Type="http://schemas.openxmlformats.org/officeDocument/2006/relationships/numbering" Target="numbering.xml"/><Relationship Id="rId15" Type="http://schemas.openxmlformats.org/officeDocument/2006/relationships/hyperlink" Target="https://library.wmo.int/doc_num.php?explnum_id=10782" TargetMode="External"/><Relationship Id="rId23" Type="http://schemas.openxmlformats.org/officeDocument/2006/relationships/hyperlink" Target="https://library.wmo.int/doc_num.php?explnum_id=11001" TargetMode="External"/><Relationship Id="rId28" Type="http://schemas.openxmlformats.org/officeDocument/2006/relationships/hyperlink" Target="https://library.wmo.int/index.php?lvl=notice_display&amp;id=1279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3789" TargetMode="External"/><Relationship Id="rId31" Type="http://schemas.openxmlformats.org/officeDocument/2006/relationships/hyperlink" Target="https://wmoomm.sharepoint.com/:b:/s/wmocpdb/EUgY24E-IXlHjkZhrl3Qwc0BqsPhapLCuUoLaqD03w2ynQ?e=xaA2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82" TargetMode="External"/><Relationship Id="rId22" Type="http://schemas.openxmlformats.org/officeDocument/2006/relationships/hyperlink" Target="https://library.wmo.int/doc_num.php?explnum_id=10973" TargetMode="External"/><Relationship Id="rId27" Type="http://schemas.openxmlformats.org/officeDocument/2006/relationships/hyperlink" Target="https://library.wmo.int/doc_num.php?explnum_id=9847" TargetMode="External"/><Relationship Id="rId30" Type="http://schemas.openxmlformats.org/officeDocument/2006/relationships/hyperlink" Target="https://library.wmo.int/index.php?lvl=notice_display&amp;id=12795"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ce21bc6c-711a-4065-a01c-a8f0e29e3ad8"/>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3679bf0f-1d7e-438f-afa5-6ebf1e20f9b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7DCBA3B-2160-4FD8-B4CC-E130E1214501}"/>
</file>

<file path=customXml/itemProps4.xml><?xml version="1.0" encoding="utf-8"?>
<ds:datastoreItem xmlns:ds="http://schemas.openxmlformats.org/officeDocument/2006/customXml" ds:itemID="{425029E1-C7E2-40E5-AED0-F91EC252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2180</Words>
  <Characters>12431</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14582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Microsoft Office User</dc:creator>
  <cp:lastModifiedBy>Elena Vicente</cp:lastModifiedBy>
  <cp:revision>27</cp:revision>
  <cp:lastPrinted>2013-03-12T09:27:00Z</cp:lastPrinted>
  <dcterms:created xsi:type="dcterms:W3CDTF">2022-10-14T13:40:00Z</dcterms:created>
  <dcterms:modified xsi:type="dcterms:W3CDTF">2022-10-14T14:40:00Z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